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color w:val="000000"/>
          <w:sz w:val="44"/>
          <w:szCs w:val="44"/>
          <w:highlight w:val="none"/>
        </w:rPr>
      </w:pPr>
      <w:bookmarkStart w:id="0" w:name="_Toc9219"/>
      <w:r>
        <w:rPr>
          <w:rFonts w:hint="eastAsia" w:ascii="方正小标宋简体" w:hAnsi="方正小标宋简体" w:eastAsia="方正小标宋简体" w:cs="方正小标宋简体"/>
          <w:color w:val="000000"/>
          <w:sz w:val="44"/>
          <w:szCs w:val="44"/>
          <w:highlight w:val="none"/>
        </w:rPr>
        <w:t>系</w:t>
      </w:r>
      <w:r>
        <w:rPr>
          <w:rFonts w:hint="eastAsia" w:ascii="方正小标宋简体" w:hAnsi="方正小标宋简体" w:eastAsia="方正小标宋简体" w:cs="方正小标宋简体"/>
          <w:color w:val="000000"/>
          <w:sz w:val="44"/>
          <w:szCs w:val="44"/>
          <w:highlight w:val="none"/>
          <w:lang w:eastAsia="zh-CN"/>
        </w:rPr>
        <w:t>（</w:t>
      </w:r>
      <w:r>
        <w:rPr>
          <w:rFonts w:hint="eastAsia" w:ascii="方正小标宋简体" w:hAnsi="方正小标宋简体" w:eastAsia="方正小标宋简体" w:cs="方正小标宋简体"/>
          <w:color w:val="000000"/>
          <w:sz w:val="44"/>
          <w:szCs w:val="44"/>
          <w:highlight w:val="none"/>
        </w:rPr>
        <w:t>部</w:t>
      </w:r>
      <w:r>
        <w:rPr>
          <w:rFonts w:hint="eastAsia" w:ascii="方正小标宋简体" w:hAnsi="方正小标宋简体" w:eastAsia="方正小标宋简体" w:cs="方正小标宋简体"/>
          <w:color w:val="000000"/>
          <w:sz w:val="44"/>
          <w:szCs w:val="44"/>
          <w:highlight w:val="none"/>
          <w:lang w:eastAsia="zh-CN"/>
        </w:rPr>
        <w:t>）</w:t>
      </w:r>
      <w:r>
        <w:rPr>
          <w:rFonts w:hint="eastAsia" w:ascii="方正小标宋简体" w:hAnsi="方正小标宋简体" w:eastAsia="方正小标宋简体" w:cs="方正小标宋简体"/>
          <w:color w:val="000000"/>
          <w:sz w:val="44"/>
          <w:szCs w:val="44"/>
          <w:highlight w:val="none"/>
        </w:rPr>
        <w:t>党总支委员会会议议事规则</w:t>
      </w:r>
      <w:bookmarkEnd w:id="0"/>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方正小标宋简体" w:hAnsi="方正小标宋简体" w:eastAsia="方正小标宋简体" w:cs="方正小标宋简体"/>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after="300" w:afterLines="50" w:line="586" w:lineRule="exact"/>
        <w:jc w:val="center"/>
        <w:textAlignment w:val="auto"/>
        <w:rPr>
          <w:rFonts w:hint="eastAsia" w:ascii="黑体" w:hAnsi="黑体" w:eastAsia="黑体" w:cs="黑体"/>
          <w:color w:val="000000"/>
          <w:highlight w:val="none"/>
          <w:lang w:val="en-US" w:eastAsia="zh-CN"/>
        </w:rPr>
      </w:pPr>
      <w:r>
        <w:rPr>
          <w:rFonts w:hint="eastAsia" w:ascii="黑体" w:hAnsi="黑体" w:eastAsia="黑体" w:cs="黑体"/>
          <w:color w:val="000000"/>
          <w:highlight w:val="none"/>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86" w:lineRule="exact"/>
        <w:textAlignment w:val="auto"/>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　</w:t>
      </w:r>
      <w:r>
        <w:rPr>
          <w:rFonts w:hint="eastAsia" w:ascii="仿宋_GB2312" w:hAnsi="仿宋_GB2312" w:eastAsia="仿宋_GB2312" w:cs="仿宋_GB2312"/>
          <w:color w:val="000000"/>
          <w:highlight w:val="none"/>
          <w:lang w:val="en-US" w:eastAsia="zh-CN"/>
        </w:rPr>
        <w:t>　</w:t>
      </w:r>
      <w:r>
        <w:rPr>
          <w:rFonts w:hint="eastAsia" w:ascii="黑体" w:hAnsi="黑体" w:eastAsia="黑体" w:cs="黑体"/>
          <w:color w:val="000000"/>
          <w:highlight w:val="none"/>
          <w:lang w:val="en-US" w:eastAsia="zh-CN"/>
        </w:rPr>
        <w:t>第一条</w:t>
      </w:r>
      <w:r>
        <w:rPr>
          <w:rFonts w:hint="eastAsia" w:ascii="仿宋_GB2312" w:hAnsi="仿宋_GB2312" w:cs="仿宋_GB2312"/>
          <w:color w:val="000000"/>
          <w:highlight w:val="none"/>
          <w:lang w:val="en-US" w:eastAsia="zh-CN"/>
        </w:rPr>
        <w:t xml:space="preserve"> </w:t>
      </w:r>
      <w:r>
        <w:rPr>
          <w:rFonts w:hint="eastAsia" w:ascii="仿宋_GB2312" w:hAnsi="仿宋_GB2312" w:eastAsia="仿宋_GB2312" w:cs="仿宋_GB2312"/>
          <w:color w:val="000000"/>
          <w:highlight w:val="none"/>
          <w:lang w:val="en-US" w:eastAsia="zh-CN"/>
        </w:rPr>
        <w:t xml:space="preserve"> 为深入学习贯彻习近平新时代中国特色社会主义思想和党的二十大精神，落实全面从严治党要求，充分发挥基层党组织政治核心作用，实现基层党组织工作的制度化、规范化和决策的民主化、科学化，根据《中国共产党章程》《中国共产党普通高等学校基层组织工作条例》《关于加强和改进新形势下高校思想政治工作的意见》《高校党建工作重点任务》等有关规定，并结合学校实际，特制定本规则。</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lang w:val="en-US" w:eastAsia="zh-CN"/>
        </w:rPr>
      </w:pPr>
      <w:r>
        <w:rPr>
          <w:rFonts w:hint="eastAsia" w:ascii="黑体" w:hAnsi="黑体" w:eastAsia="黑体" w:cs="黑体"/>
          <w:color w:val="000000"/>
          <w:highlight w:val="none"/>
          <w:lang w:val="en-US" w:eastAsia="zh-CN"/>
        </w:rPr>
        <w:t>第二条</w:t>
      </w:r>
      <w:r>
        <w:rPr>
          <w:rFonts w:hint="eastAsia" w:ascii="仿宋_GB2312" w:hAnsi="仿宋_GB2312" w:eastAsia="仿宋_GB2312" w:cs="仿宋_GB2312"/>
          <w:color w:val="000000"/>
          <w:highlight w:val="none"/>
          <w:lang w:val="en-US" w:eastAsia="zh-CN"/>
        </w:rPr>
        <w:t xml:space="preserve"> </w:t>
      </w:r>
      <w:r>
        <w:rPr>
          <w:rFonts w:hint="eastAsia" w:ascii="仿宋_GB2312" w:hAnsi="仿宋_GB2312" w:cs="仿宋_GB2312"/>
          <w:color w:val="000000"/>
          <w:highlight w:val="none"/>
          <w:lang w:val="en-US" w:eastAsia="zh-CN"/>
        </w:rPr>
        <w:t xml:space="preserve"> </w:t>
      </w:r>
      <w:r>
        <w:rPr>
          <w:rFonts w:hint="eastAsia" w:ascii="仿宋_GB2312" w:hAnsi="仿宋_GB2312" w:eastAsia="仿宋_GB2312" w:cs="仿宋_GB2312"/>
          <w:color w:val="000000"/>
          <w:highlight w:val="none"/>
        </w:rPr>
        <w:t>系</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部</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党总支在学校党委的领导下开展工作，全面负责党的建设，履行政治责任，保证监督党的路线方针政策及上级党组织决定的贯彻执行，把握好教学科研管理等重大事项中的政治原则、政治立场、政治方向，在干部队伍和教师队伍建设中发挥主导作用，把好政治关。</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lang w:val="en-US" w:eastAsia="zh-CN"/>
        </w:rPr>
      </w:pPr>
      <w:r>
        <w:rPr>
          <w:rFonts w:hint="eastAsia" w:ascii="黑体" w:hAnsi="黑体" w:eastAsia="黑体" w:cs="黑体"/>
          <w:color w:val="000000"/>
          <w:highlight w:val="none"/>
          <w:lang w:val="en-US" w:eastAsia="zh-CN"/>
        </w:rPr>
        <w:t xml:space="preserve">第三条 </w:t>
      </w:r>
      <w:r>
        <w:rPr>
          <w:rFonts w:hint="eastAsia" w:ascii="仿宋_GB2312" w:hAnsi="仿宋_GB2312" w:eastAsia="仿宋_GB2312" w:cs="仿宋_GB2312"/>
          <w:color w:val="000000"/>
          <w:highlight w:val="none"/>
          <w:lang w:val="en-US" w:eastAsia="zh-CN"/>
        </w:rPr>
        <w:t xml:space="preserve"> </w:t>
      </w:r>
      <w:r>
        <w:rPr>
          <w:rFonts w:hint="eastAsia" w:ascii="仿宋_GB2312" w:hAnsi="仿宋_GB2312" w:eastAsia="仿宋_GB2312" w:cs="仿宋_GB2312"/>
          <w:color w:val="000000"/>
          <w:highlight w:val="none"/>
        </w:rPr>
        <w:t>系</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部</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党总支委员会会议实行民主集中制，以“集体领导、民主集中、个别酝酿、会议决定”为基本原则，党总支委员要根据集体的决定和分工，切实履行自己的职责。</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lang w:val="en-US" w:eastAsia="zh-CN"/>
        </w:rPr>
      </w:pPr>
      <w:r>
        <w:rPr>
          <w:rFonts w:hint="eastAsia" w:ascii="黑体" w:hAnsi="黑体" w:eastAsia="黑体" w:cs="黑体"/>
          <w:color w:val="000000"/>
          <w:highlight w:val="none"/>
          <w:lang w:val="en-US" w:eastAsia="zh-CN"/>
        </w:rPr>
        <w:t xml:space="preserve">第四条  </w:t>
      </w:r>
      <w:r>
        <w:rPr>
          <w:rFonts w:hint="eastAsia" w:ascii="仿宋_GB2312" w:hAnsi="仿宋_GB2312" w:eastAsia="仿宋_GB2312" w:cs="仿宋_GB2312"/>
          <w:color w:val="000000"/>
          <w:highlight w:val="none"/>
        </w:rPr>
        <w:t>系</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部</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党总支委员会会议研究决定党总支职责范围内的经常性工作，原则上每月召开一次，遇特殊情况，可临时召开。</w:t>
      </w:r>
    </w:p>
    <w:p>
      <w:pPr>
        <w:keepNext w:val="0"/>
        <w:keepLines w:val="0"/>
        <w:pageBreakBefore w:val="0"/>
        <w:widowControl w:val="0"/>
        <w:kinsoku/>
        <w:wordWrap/>
        <w:overflowPunct/>
        <w:topLinePunct w:val="0"/>
        <w:autoSpaceDE/>
        <w:autoSpaceDN/>
        <w:bidi w:val="0"/>
        <w:adjustRightInd/>
        <w:snapToGrid/>
        <w:spacing w:before="300" w:beforeLines="50" w:after="300" w:afterLines="50" w:line="586" w:lineRule="exact"/>
        <w:jc w:val="center"/>
        <w:textAlignment w:val="auto"/>
        <w:rPr>
          <w:rFonts w:hint="eastAsia" w:ascii="黑体" w:hAnsi="黑体" w:eastAsia="黑体" w:cs="黑体"/>
          <w:color w:val="000000"/>
          <w:highlight w:val="none"/>
          <w:lang w:val="en-US" w:eastAsia="zh-CN"/>
        </w:rPr>
      </w:pPr>
      <w:bookmarkStart w:id="1" w:name="_Toc2623"/>
      <w:bookmarkStart w:id="2" w:name="_Toc16874"/>
      <w:bookmarkStart w:id="3" w:name="_Toc2618"/>
      <w:r>
        <w:rPr>
          <w:rFonts w:hint="eastAsia" w:ascii="黑体" w:hAnsi="黑体" w:eastAsia="黑体" w:cs="黑体"/>
          <w:color w:val="000000"/>
          <w:highlight w:val="none"/>
          <w:lang w:val="en-US" w:eastAsia="zh-CN"/>
        </w:rPr>
        <w:t>第二章  议事范围</w:t>
      </w:r>
      <w:bookmarkEnd w:id="1"/>
      <w:bookmarkEnd w:id="2"/>
      <w:bookmarkEnd w:id="3"/>
    </w:p>
    <w:p>
      <w:pPr>
        <w:keepNext w:val="0"/>
        <w:keepLines w:val="0"/>
        <w:pageBreakBefore w:val="0"/>
        <w:widowControl w:val="0"/>
        <w:kinsoku/>
        <w:wordWrap/>
        <w:overflowPunct/>
        <w:topLinePunct w:val="0"/>
        <w:autoSpaceDE/>
        <w:autoSpaceDN/>
        <w:bidi w:val="0"/>
        <w:adjustRightInd/>
        <w:snapToGrid/>
        <w:spacing w:line="574" w:lineRule="exact"/>
        <w:ind w:firstLine="632" w:firstLineChars="200"/>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系</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部</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党总支会议的议事范围为：</w:t>
      </w:r>
      <w:r>
        <w:rPr>
          <w:rFonts w:hint="eastAsia" w:ascii="仿宋_GB2312" w:hAnsi="仿宋_GB2312" w:eastAsia="仿宋_GB2312" w:cs="仿宋_GB2312"/>
          <w:color w:val="000000"/>
          <w:highlight w:val="none"/>
        </w:rPr>
        <w:br w:type="textWrapping"/>
      </w:r>
      <w:r>
        <w:rPr>
          <w:rFonts w:hint="eastAsia" w:ascii="仿宋_GB2312" w:hAnsi="仿宋_GB2312" w:eastAsia="仿宋_GB2312" w:cs="仿宋_GB2312"/>
          <w:color w:val="000000"/>
          <w:highlight w:val="none"/>
        </w:rPr>
        <w:t>　　（一</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学习宣传贯彻党的方针、路线、政策和上级党组织、学校党委的重要决策和决定，传达学习上级党组织和学校党委的重要会议、重要文件、重要指示精神。</w:t>
      </w:r>
    </w:p>
    <w:p>
      <w:pPr>
        <w:keepNext w:val="0"/>
        <w:keepLines w:val="0"/>
        <w:pageBreakBefore w:val="0"/>
        <w:widowControl w:val="0"/>
        <w:kinsoku/>
        <w:wordWrap/>
        <w:overflowPunct/>
        <w:topLinePunct w:val="0"/>
        <w:autoSpaceDE/>
        <w:autoSpaceDN/>
        <w:bidi w:val="0"/>
        <w:adjustRightInd/>
        <w:snapToGrid/>
        <w:spacing w:line="574" w:lineRule="exact"/>
        <w:ind w:firstLine="632" w:firstLineChars="200"/>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二</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研究决定党建工作规划、年度工作有关重要事项。</w:t>
      </w:r>
    </w:p>
    <w:p>
      <w:pPr>
        <w:keepNext w:val="0"/>
        <w:keepLines w:val="0"/>
        <w:pageBreakBefore w:val="0"/>
        <w:widowControl w:val="0"/>
        <w:kinsoku/>
        <w:wordWrap/>
        <w:overflowPunct/>
        <w:topLinePunct w:val="0"/>
        <w:autoSpaceDE/>
        <w:autoSpaceDN/>
        <w:bidi w:val="0"/>
        <w:adjustRightInd/>
        <w:snapToGrid/>
        <w:spacing w:line="574" w:lineRule="exact"/>
        <w:ind w:firstLine="632" w:firstLineChars="200"/>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（三）研究党组织</w:t>
      </w:r>
      <w:r>
        <w:rPr>
          <w:rFonts w:hint="eastAsia" w:ascii="仿宋_GB2312" w:hAnsi="仿宋_GB2312" w:eastAsia="仿宋_GB2312" w:cs="仿宋_GB2312"/>
          <w:color w:val="000000"/>
          <w:highlight w:val="none"/>
          <w:lang w:val="en-US" w:eastAsia="zh-CN"/>
        </w:rPr>
        <w:t>加强</w:t>
      </w:r>
      <w:r>
        <w:rPr>
          <w:rFonts w:hint="eastAsia" w:ascii="仿宋_GB2312" w:hAnsi="仿宋_GB2312" w:eastAsia="仿宋_GB2312" w:cs="仿宋_GB2312"/>
          <w:color w:val="000000"/>
          <w:highlight w:val="none"/>
        </w:rPr>
        <w:t>思想建设、组织建设、作风建设、反腐倡廉建设、制度建设和统一战线工作</w:t>
      </w:r>
      <w:r>
        <w:rPr>
          <w:rFonts w:hint="eastAsia" w:ascii="仿宋_GB2312" w:hAnsi="仿宋_GB2312" w:eastAsia="仿宋_GB2312" w:cs="仿宋_GB2312"/>
          <w:color w:val="000000"/>
          <w:highlight w:val="none"/>
          <w:lang w:val="en-US" w:eastAsia="zh-CN"/>
        </w:rPr>
        <w:t>的规划与举措</w:t>
      </w:r>
      <w:r>
        <w:rPr>
          <w:rFonts w:hint="eastAsia" w:ascii="仿宋_GB2312" w:hAnsi="仿宋_GB2312" w:eastAsia="仿宋_GB2312" w:cs="仿宋_GB2312"/>
          <w:color w:val="000000"/>
          <w:highlight w:val="none"/>
        </w:rPr>
        <w:t>。</w:t>
      </w:r>
      <w:r>
        <w:rPr>
          <w:rFonts w:hint="eastAsia" w:ascii="仿宋_GB2312" w:hAnsi="仿宋_GB2312" w:eastAsia="仿宋_GB2312" w:cs="仿宋_GB2312"/>
          <w:color w:val="000000"/>
          <w:highlight w:val="none"/>
        </w:rPr>
        <w:br w:type="textWrapping"/>
      </w:r>
      <w:r>
        <w:rPr>
          <w:rFonts w:hint="eastAsia" w:ascii="仿宋_GB2312" w:hAnsi="仿宋_GB2312" w:eastAsia="仿宋_GB2312" w:cs="仿宋_GB2312"/>
          <w:color w:val="000000"/>
          <w:highlight w:val="none"/>
        </w:rPr>
        <w:t>　　（四）研究思想政治工作、</w:t>
      </w:r>
      <w:r>
        <w:rPr>
          <w:rFonts w:hint="eastAsia" w:ascii="仿宋_GB2312" w:hAnsi="仿宋_GB2312" w:eastAsia="仿宋_GB2312" w:cs="仿宋_GB2312"/>
          <w:color w:val="000000"/>
          <w:highlight w:val="none"/>
          <w:lang w:val="en-US" w:eastAsia="zh-CN"/>
        </w:rPr>
        <w:t>宣传工作、</w:t>
      </w:r>
      <w:r>
        <w:rPr>
          <w:rFonts w:hint="eastAsia" w:ascii="仿宋_GB2312" w:hAnsi="仿宋_GB2312" w:eastAsia="仿宋_GB2312" w:cs="仿宋_GB2312"/>
          <w:color w:val="000000"/>
          <w:highlight w:val="none"/>
        </w:rPr>
        <w:t>意识形态工作、精神文明建设、安全稳定、保密工作等重要事项，定期分析研判教职工和学生的思想政治状况并做好相关工作。</w:t>
      </w:r>
    </w:p>
    <w:p>
      <w:pPr>
        <w:keepNext w:val="0"/>
        <w:keepLines w:val="0"/>
        <w:pageBreakBefore w:val="0"/>
        <w:widowControl w:val="0"/>
        <w:kinsoku/>
        <w:wordWrap/>
        <w:overflowPunct/>
        <w:topLinePunct w:val="0"/>
        <w:autoSpaceDE/>
        <w:autoSpaceDN/>
        <w:bidi w:val="0"/>
        <w:adjustRightInd/>
        <w:snapToGrid/>
        <w:spacing w:line="574" w:lineRule="exact"/>
        <w:ind w:firstLine="632" w:firstLineChars="200"/>
        <w:textAlignment w:val="auto"/>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五</w:t>
      </w:r>
      <w:r>
        <w:rPr>
          <w:rFonts w:hint="eastAsia" w:ascii="仿宋_GB2312" w:hAnsi="仿宋_GB2312" w:eastAsia="仿宋_GB2312" w:cs="仿宋_GB2312"/>
          <w:color w:val="000000"/>
          <w:highlight w:val="none"/>
          <w:lang w:eastAsia="zh-CN"/>
        </w:rPr>
        <w:t>）根据管理权限，研究</w:t>
      </w:r>
      <w:r>
        <w:rPr>
          <w:rFonts w:hint="eastAsia" w:ascii="仿宋_GB2312" w:hAnsi="仿宋_GB2312" w:eastAsia="仿宋_GB2312" w:cs="仿宋_GB2312"/>
          <w:color w:val="000000"/>
          <w:highlight w:val="none"/>
          <w:lang w:val="en-US" w:eastAsia="zh-CN"/>
        </w:rPr>
        <w:t>所属</w:t>
      </w:r>
      <w:r>
        <w:rPr>
          <w:rFonts w:hint="eastAsia" w:ascii="仿宋_GB2312" w:hAnsi="仿宋_GB2312" w:eastAsia="仿宋_GB2312" w:cs="仿宋_GB2312"/>
          <w:color w:val="000000"/>
          <w:highlight w:val="none"/>
          <w:lang w:eastAsia="zh-CN"/>
        </w:rPr>
        <w:t>党支部设置及其负责人的任免调整。</w:t>
      </w:r>
    </w:p>
    <w:p>
      <w:pPr>
        <w:keepNext w:val="0"/>
        <w:keepLines w:val="0"/>
        <w:pageBreakBefore w:val="0"/>
        <w:widowControl w:val="0"/>
        <w:kinsoku/>
        <w:wordWrap/>
        <w:overflowPunct/>
        <w:topLinePunct w:val="0"/>
        <w:autoSpaceDE/>
        <w:autoSpaceDN/>
        <w:bidi w:val="0"/>
        <w:adjustRightInd/>
        <w:snapToGrid/>
        <w:spacing w:line="574" w:lineRule="exact"/>
        <w:ind w:firstLine="632" w:firstLineChars="200"/>
        <w:textAlignment w:val="auto"/>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rPr>
        <w:t>（</w:t>
      </w:r>
      <w:r>
        <w:rPr>
          <w:rFonts w:hint="eastAsia" w:ascii="仿宋_GB2312" w:hAnsi="仿宋_GB2312" w:eastAsia="仿宋_GB2312" w:cs="仿宋_GB2312"/>
          <w:color w:val="000000"/>
          <w:highlight w:val="none"/>
          <w:lang w:val="en-US" w:eastAsia="zh-CN"/>
        </w:rPr>
        <w:t>六</w:t>
      </w:r>
      <w:r>
        <w:rPr>
          <w:rFonts w:hint="eastAsia" w:ascii="仿宋_GB2312" w:hAnsi="仿宋_GB2312" w:eastAsia="仿宋_GB2312" w:cs="仿宋_GB2312"/>
          <w:color w:val="000000"/>
          <w:highlight w:val="none"/>
        </w:rPr>
        <w:t>）按照有关规定和权限，研究讨论党员发展、教育、管理、监督、服务以及党内表彰和处分等方面的重要事项</w:t>
      </w:r>
      <w:r>
        <w:rPr>
          <w:rFonts w:hint="eastAsia" w:ascii="仿宋_GB2312" w:hAnsi="仿宋_GB2312" w:eastAsia="仿宋_GB2312" w:cs="仿宋_GB2312"/>
          <w:color w:val="000000"/>
          <w:highlight w:val="none"/>
          <w:lang w:eastAsia="zh-CN"/>
        </w:rPr>
        <w:t>。</w:t>
      </w:r>
    </w:p>
    <w:p>
      <w:pPr>
        <w:keepNext w:val="0"/>
        <w:keepLines w:val="0"/>
        <w:pageBreakBefore w:val="0"/>
        <w:widowControl w:val="0"/>
        <w:kinsoku/>
        <w:wordWrap/>
        <w:overflowPunct/>
        <w:topLinePunct w:val="0"/>
        <w:autoSpaceDE/>
        <w:autoSpaceDN/>
        <w:bidi w:val="0"/>
        <w:adjustRightInd/>
        <w:snapToGrid/>
        <w:spacing w:line="574" w:lineRule="exact"/>
        <w:ind w:firstLine="632" w:firstLineChars="200"/>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w:t>
      </w:r>
      <w:r>
        <w:rPr>
          <w:rFonts w:hint="eastAsia" w:ascii="仿宋_GB2312" w:hAnsi="仿宋_GB2312" w:eastAsia="仿宋_GB2312" w:cs="仿宋_GB2312"/>
          <w:color w:val="000000"/>
          <w:highlight w:val="none"/>
          <w:lang w:val="en-US" w:eastAsia="zh-CN"/>
        </w:rPr>
        <w:t>七</w:t>
      </w:r>
      <w:r>
        <w:rPr>
          <w:rFonts w:hint="eastAsia" w:ascii="仿宋_GB2312" w:hAnsi="仿宋_GB2312" w:eastAsia="仿宋_GB2312" w:cs="仿宋_GB2312"/>
          <w:color w:val="000000"/>
          <w:highlight w:val="none"/>
        </w:rPr>
        <w:t>）研究系</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部</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发展规划、重大改革、管理制度、资源配置等涉及办学方向的相关问题。</w:t>
      </w:r>
    </w:p>
    <w:p>
      <w:pPr>
        <w:keepNext w:val="0"/>
        <w:keepLines w:val="0"/>
        <w:pageBreakBefore w:val="0"/>
        <w:widowControl w:val="0"/>
        <w:kinsoku/>
        <w:wordWrap/>
        <w:overflowPunct/>
        <w:topLinePunct w:val="0"/>
        <w:autoSpaceDE/>
        <w:autoSpaceDN/>
        <w:bidi w:val="0"/>
        <w:adjustRightInd/>
        <w:snapToGrid/>
        <w:spacing w:line="574" w:lineRule="exact"/>
        <w:ind w:firstLine="632" w:firstLineChars="200"/>
        <w:textAlignment w:val="auto"/>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（八）研究讨论教师引进、人才培养使用、课程建设、教材选用，举办或人员参与学术活动等重大问题上涉及的政治原则、政治立场、政治方向等事项。</w:t>
      </w:r>
    </w:p>
    <w:p>
      <w:pPr>
        <w:keepNext w:val="0"/>
        <w:keepLines w:val="0"/>
        <w:pageBreakBefore w:val="0"/>
        <w:widowControl w:val="0"/>
        <w:kinsoku/>
        <w:wordWrap/>
        <w:overflowPunct/>
        <w:topLinePunct w:val="0"/>
        <w:autoSpaceDE/>
        <w:autoSpaceDN/>
        <w:bidi w:val="0"/>
        <w:adjustRightInd/>
        <w:snapToGrid/>
        <w:spacing w:line="574" w:lineRule="exact"/>
        <w:ind w:firstLine="632" w:firstLineChars="200"/>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w:t>
      </w:r>
      <w:r>
        <w:rPr>
          <w:rFonts w:hint="eastAsia" w:ascii="仿宋_GB2312" w:hAnsi="仿宋_GB2312" w:eastAsia="仿宋_GB2312" w:cs="仿宋_GB2312"/>
          <w:color w:val="000000"/>
          <w:highlight w:val="none"/>
          <w:lang w:val="en-US" w:eastAsia="zh-CN"/>
        </w:rPr>
        <w:t>九</w:t>
      </w:r>
      <w:r>
        <w:rPr>
          <w:rFonts w:hint="eastAsia" w:ascii="仿宋_GB2312" w:hAnsi="仿宋_GB2312" w:eastAsia="仿宋_GB2312" w:cs="仿宋_GB2312"/>
          <w:color w:val="000000"/>
          <w:highlight w:val="none"/>
        </w:rPr>
        <w:t>）其他需要由党总支会议研究决定的重要问题和工作事项。</w:t>
      </w:r>
    </w:p>
    <w:p>
      <w:pPr>
        <w:keepNext w:val="0"/>
        <w:keepLines w:val="0"/>
        <w:pageBreakBefore w:val="0"/>
        <w:widowControl w:val="0"/>
        <w:kinsoku/>
        <w:wordWrap/>
        <w:overflowPunct/>
        <w:topLinePunct w:val="0"/>
        <w:autoSpaceDE/>
        <w:autoSpaceDN/>
        <w:bidi w:val="0"/>
        <w:adjustRightInd/>
        <w:snapToGrid/>
        <w:spacing w:before="300" w:beforeLines="50" w:after="300" w:afterLines="50" w:line="586" w:lineRule="exact"/>
        <w:jc w:val="center"/>
        <w:textAlignment w:val="auto"/>
        <w:rPr>
          <w:rFonts w:hint="eastAsia" w:ascii="黑体" w:hAnsi="黑体" w:eastAsia="黑体" w:cs="黑体"/>
          <w:color w:val="000000"/>
          <w:highlight w:val="none"/>
          <w:lang w:val="en-US" w:eastAsia="zh-CN"/>
        </w:rPr>
      </w:pPr>
      <w:bookmarkStart w:id="4" w:name="_Toc26666"/>
      <w:bookmarkStart w:id="5" w:name="_Toc1312"/>
      <w:bookmarkStart w:id="6" w:name="_Toc20964"/>
      <w:r>
        <w:rPr>
          <w:rFonts w:hint="eastAsia" w:ascii="黑体" w:hAnsi="黑体" w:eastAsia="黑体" w:cs="黑体"/>
          <w:color w:val="000000"/>
          <w:highlight w:val="none"/>
          <w:lang w:val="en-US" w:eastAsia="zh-CN"/>
        </w:rPr>
        <w:t>第三章  议事程序</w:t>
      </w:r>
      <w:bookmarkEnd w:id="4"/>
      <w:bookmarkEnd w:id="5"/>
      <w:bookmarkEnd w:id="6"/>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r>
        <w:rPr>
          <w:rFonts w:hint="eastAsia" w:ascii="黑体" w:hAnsi="黑体" w:eastAsia="黑体" w:cs="黑体"/>
          <w:color w:val="000000"/>
          <w:highlight w:val="none"/>
        </w:rPr>
        <w:t>第六条</w:t>
      </w:r>
      <w:r>
        <w:rPr>
          <w:rFonts w:hint="eastAsia" w:ascii="仿宋_GB2312" w:hAnsi="仿宋_GB2312" w:eastAsia="仿宋_GB2312" w:cs="仿宋_GB2312"/>
          <w:color w:val="000000"/>
          <w:highlight w:val="none"/>
          <w:lang w:val="en-US" w:eastAsia="zh-CN"/>
        </w:rPr>
        <w:t xml:space="preserve"> </w:t>
      </w:r>
      <w:r>
        <w:rPr>
          <w:rFonts w:hint="eastAsia" w:ascii="仿宋_GB2312" w:hAnsi="仿宋_GB2312" w:cs="仿宋_GB2312"/>
          <w:color w:val="000000"/>
          <w:highlight w:val="none"/>
          <w:lang w:val="en-US" w:eastAsia="zh-CN"/>
        </w:rPr>
        <w:t xml:space="preserve"> </w:t>
      </w:r>
      <w:r>
        <w:rPr>
          <w:rFonts w:hint="eastAsia" w:ascii="仿宋_GB2312" w:hAnsi="仿宋_GB2312" w:eastAsia="仿宋_GB2312" w:cs="仿宋_GB2312"/>
          <w:color w:val="000000"/>
          <w:highlight w:val="none"/>
        </w:rPr>
        <w:t xml:space="preserve">关于议题的确定： </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（一）根据学校党委的工作部署和指示精神，系</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部</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党总支会议议题在充分调查研究、征求意见的基础上，由系</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部</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党总支书记</w:t>
      </w:r>
      <w:r>
        <w:rPr>
          <w:rFonts w:hint="eastAsia" w:ascii="仿宋_GB2312" w:hAnsi="仿宋_GB2312" w:eastAsia="仿宋_GB2312" w:cs="仿宋_GB2312"/>
          <w:color w:val="000000"/>
          <w:highlight w:val="none"/>
          <w:lang w:val="en-US" w:eastAsia="zh-CN"/>
        </w:rPr>
        <w:t>或主持工作的副书记</w:t>
      </w:r>
      <w:r>
        <w:rPr>
          <w:rFonts w:hint="eastAsia" w:ascii="仿宋_GB2312" w:hAnsi="仿宋_GB2312" w:eastAsia="仿宋_GB2312" w:cs="仿宋_GB2312"/>
          <w:color w:val="000000"/>
          <w:highlight w:val="none"/>
        </w:rPr>
        <w:t>确定。</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rPr>
        <w:t>（二）其他委员也可根据分工和工作实际事先提出需要讨论决定的议题，经与书记</w:t>
      </w:r>
      <w:r>
        <w:rPr>
          <w:rFonts w:hint="eastAsia" w:ascii="仿宋_GB2312" w:hAnsi="仿宋_GB2312" w:eastAsia="仿宋_GB2312" w:cs="仿宋_GB2312"/>
          <w:color w:val="000000"/>
          <w:highlight w:val="none"/>
          <w:lang w:val="en-US" w:eastAsia="zh-CN"/>
        </w:rPr>
        <w:t>或主持工作的副书记</w:t>
      </w:r>
      <w:r>
        <w:rPr>
          <w:rFonts w:hint="eastAsia" w:ascii="仿宋_GB2312" w:hAnsi="仿宋_GB2312" w:eastAsia="仿宋_GB2312" w:cs="仿宋_GB2312"/>
          <w:color w:val="000000"/>
          <w:highlight w:val="none"/>
        </w:rPr>
        <w:t>讨论后确定</w:t>
      </w:r>
      <w:r>
        <w:rPr>
          <w:rFonts w:hint="eastAsia" w:ascii="仿宋_GB2312" w:hAnsi="仿宋_GB2312" w:cs="仿宋_GB2312"/>
          <w:color w:val="000000"/>
          <w:highlight w:val="none"/>
          <w:lang w:eastAsia="zh-CN"/>
        </w:rPr>
        <w:t>。</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（三）凡未经会前审定的议题，一般不列入会议的议程，对突发重大事件或紧急情况需要上会讨论的，须经书记允许后方可安排。</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r>
        <w:rPr>
          <w:rFonts w:hint="eastAsia" w:ascii="黑体" w:hAnsi="黑体" w:eastAsia="黑体" w:cs="黑体"/>
          <w:color w:val="000000"/>
          <w:highlight w:val="none"/>
          <w:lang w:val="en-US" w:eastAsia="zh-CN"/>
        </w:rPr>
        <w:t xml:space="preserve">第七条 </w:t>
      </w:r>
      <w:r>
        <w:rPr>
          <w:rFonts w:hint="eastAsia" w:ascii="仿宋_GB2312" w:hAnsi="仿宋_GB2312" w:eastAsia="仿宋_GB2312" w:cs="仿宋_GB2312"/>
          <w:color w:val="000000"/>
          <w:highlight w:val="none"/>
        </w:rPr>
        <w:t xml:space="preserve"> 系</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部</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党总支会议参加人员为系</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部</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党总支委员会委员。根据议题需要可邀请有关党员或者行政领导列席，必要时可召开扩大会议。列席人员有发言权，没有表决权，但会议应充分听取并考虑列席人员意见。</w:t>
      </w:r>
      <w:r>
        <w:rPr>
          <w:rFonts w:hint="eastAsia" w:ascii="仿宋_GB2312" w:hAnsi="仿宋_GB2312" w:eastAsia="仿宋_GB2312" w:cs="仿宋_GB2312"/>
          <w:color w:val="000000"/>
          <w:highlight w:val="none"/>
        </w:rPr>
        <w:br w:type="textWrapping"/>
      </w:r>
      <w:r>
        <w:rPr>
          <w:rFonts w:hint="eastAsia" w:ascii="仿宋_GB2312" w:hAnsi="仿宋_GB2312" w:eastAsia="仿宋_GB2312" w:cs="仿宋_GB2312"/>
          <w:color w:val="000000"/>
          <w:highlight w:val="none"/>
        </w:rPr>
        <w:t>　</w:t>
      </w:r>
      <w:r>
        <w:rPr>
          <w:rFonts w:hint="eastAsia" w:ascii="仿宋_GB2312" w:hAnsi="仿宋_GB2312" w:eastAsia="仿宋_GB2312" w:cs="仿宋_GB2312"/>
          <w:color w:val="000000"/>
          <w:highlight w:val="none"/>
          <w:lang w:val="en-US" w:eastAsia="zh-CN"/>
        </w:rPr>
        <w:t>　</w:t>
      </w:r>
      <w:r>
        <w:rPr>
          <w:rFonts w:hint="eastAsia" w:ascii="黑体" w:hAnsi="黑体" w:eastAsia="黑体" w:cs="黑体"/>
          <w:color w:val="000000"/>
          <w:highlight w:val="none"/>
          <w:lang w:val="en-US" w:eastAsia="zh-CN"/>
        </w:rPr>
        <w:t xml:space="preserve">第八条 </w:t>
      </w:r>
      <w:r>
        <w:rPr>
          <w:rFonts w:hint="eastAsia" w:ascii="仿宋_GB2312" w:hAnsi="仿宋_GB2312" w:eastAsia="仿宋_GB2312" w:cs="仿宋_GB2312"/>
          <w:color w:val="000000"/>
          <w:highlight w:val="none"/>
        </w:rPr>
        <w:t xml:space="preserve"> 系</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部</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党总支会议一般由书记召集并主持（含主持工作的副书记），书记因故缺席时，由书记委托副书记或某一委员召集并主持。</w:t>
      </w:r>
      <w:r>
        <w:rPr>
          <w:rFonts w:hint="eastAsia" w:ascii="仿宋_GB2312" w:hAnsi="仿宋_GB2312" w:eastAsia="仿宋_GB2312" w:cs="仿宋_GB2312"/>
          <w:color w:val="000000"/>
          <w:highlight w:val="none"/>
        </w:rPr>
        <w:br w:type="textWrapping"/>
      </w:r>
      <w:r>
        <w:rPr>
          <w:rFonts w:hint="eastAsia" w:ascii="仿宋_GB2312" w:hAnsi="仿宋_GB2312" w:eastAsia="仿宋_GB2312" w:cs="仿宋_GB2312"/>
          <w:color w:val="000000"/>
          <w:highlight w:val="none"/>
        </w:rPr>
        <w:t>　　</w:t>
      </w:r>
      <w:r>
        <w:rPr>
          <w:rFonts w:hint="eastAsia" w:ascii="黑体" w:hAnsi="黑体" w:eastAsia="黑体" w:cs="黑体"/>
          <w:color w:val="000000"/>
          <w:highlight w:val="none"/>
          <w:lang w:val="en-US" w:eastAsia="zh-CN"/>
        </w:rPr>
        <w:t>第九条</w:t>
      </w:r>
      <w:r>
        <w:rPr>
          <w:rFonts w:hint="eastAsia" w:ascii="仿宋_GB2312" w:hAnsi="仿宋_GB2312" w:eastAsia="仿宋_GB2312" w:cs="仿宋_GB2312"/>
          <w:color w:val="000000"/>
          <w:highlight w:val="none"/>
        </w:rPr>
        <w:t xml:space="preserve"> </w:t>
      </w:r>
      <w:r>
        <w:rPr>
          <w:rFonts w:hint="eastAsia" w:ascii="仿宋_GB2312" w:hAnsi="仿宋_GB2312" w:cs="仿宋_GB2312"/>
          <w:color w:val="000000"/>
          <w:highlight w:val="none"/>
          <w:lang w:val="en-US" w:eastAsia="zh-CN"/>
        </w:rPr>
        <w:t xml:space="preserve"> </w:t>
      </w:r>
      <w:r>
        <w:rPr>
          <w:rFonts w:hint="eastAsia" w:ascii="仿宋_GB2312" w:hAnsi="仿宋_GB2312" w:eastAsia="仿宋_GB2312" w:cs="仿宋_GB2312"/>
          <w:color w:val="000000"/>
          <w:highlight w:val="none"/>
        </w:rPr>
        <w:t>系</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部</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党总支会议根据“一事一议”的原则，由书记或提出议题的委员就议题作简要说明，经充分讨论后集体决定。系部党总支会议应按照预定议题进行，除突发重大事件外，不得临时动议。</w:t>
      </w:r>
      <w:r>
        <w:rPr>
          <w:rFonts w:hint="eastAsia" w:ascii="仿宋_GB2312" w:hAnsi="仿宋_GB2312" w:eastAsia="仿宋_GB2312" w:cs="仿宋_GB2312"/>
          <w:color w:val="000000"/>
          <w:highlight w:val="none"/>
        </w:rPr>
        <w:br w:type="textWrapping"/>
      </w:r>
      <w:r>
        <w:rPr>
          <w:rFonts w:hint="eastAsia" w:ascii="仿宋_GB2312" w:hAnsi="仿宋_GB2312" w:eastAsia="仿宋_GB2312" w:cs="仿宋_GB2312"/>
          <w:color w:val="000000"/>
          <w:highlight w:val="none"/>
        </w:rPr>
        <w:t>　　</w:t>
      </w:r>
      <w:r>
        <w:rPr>
          <w:rFonts w:hint="eastAsia" w:ascii="黑体" w:hAnsi="黑体" w:eastAsia="黑体" w:cs="黑体"/>
          <w:color w:val="000000"/>
          <w:highlight w:val="none"/>
        </w:rPr>
        <w:t>第</w:t>
      </w:r>
      <w:r>
        <w:rPr>
          <w:rFonts w:hint="eastAsia" w:ascii="黑体" w:hAnsi="黑体" w:eastAsia="黑体" w:cs="黑体"/>
          <w:color w:val="000000"/>
          <w:highlight w:val="none"/>
          <w:lang w:val="en-US" w:eastAsia="zh-CN"/>
        </w:rPr>
        <w:t>十</w:t>
      </w:r>
      <w:r>
        <w:rPr>
          <w:rFonts w:hint="eastAsia" w:ascii="黑体" w:hAnsi="黑体" w:eastAsia="黑体" w:cs="黑体"/>
          <w:color w:val="000000"/>
          <w:highlight w:val="none"/>
        </w:rPr>
        <w:t>条</w:t>
      </w:r>
      <w:r>
        <w:rPr>
          <w:rFonts w:hint="eastAsia" w:ascii="仿宋_GB2312" w:hAnsi="仿宋_GB2312" w:eastAsia="仿宋_GB2312" w:cs="仿宋_GB2312"/>
          <w:color w:val="000000"/>
          <w:highlight w:val="none"/>
        </w:rPr>
        <w:t xml:space="preserve">  除临时召集的会议外</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 xml:space="preserve">会议的召开时间、地点、议题，一般应提前1至2天告知所有委员，参会人员应认真研究会议相关材料，准备提供会议讨论的意见和建议。 </w:t>
      </w:r>
    </w:p>
    <w:p>
      <w:pPr>
        <w:keepNext w:val="0"/>
        <w:keepLines w:val="0"/>
        <w:pageBreakBefore w:val="0"/>
        <w:widowControl w:val="0"/>
        <w:kinsoku/>
        <w:wordWrap/>
        <w:overflowPunct/>
        <w:topLinePunct w:val="0"/>
        <w:autoSpaceDE/>
        <w:autoSpaceDN/>
        <w:bidi w:val="0"/>
        <w:adjustRightInd/>
        <w:snapToGrid/>
        <w:spacing w:before="300" w:beforeLines="50" w:after="300" w:afterLines="50" w:line="586" w:lineRule="exact"/>
        <w:jc w:val="center"/>
        <w:textAlignment w:val="auto"/>
        <w:rPr>
          <w:rFonts w:hint="eastAsia" w:ascii="黑体" w:hAnsi="黑体" w:eastAsia="黑体" w:cs="黑体"/>
          <w:color w:val="000000"/>
          <w:highlight w:val="none"/>
          <w:lang w:val="en-US" w:eastAsia="zh-CN"/>
        </w:rPr>
      </w:pPr>
      <w:bookmarkStart w:id="7" w:name="_Toc5201"/>
      <w:bookmarkStart w:id="8" w:name="_Toc25683"/>
      <w:bookmarkStart w:id="9" w:name="_Toc15392"/>
      <w:r>
        <w:rPr>
          <w:rFonts w:hint="eastAsia" w:ascii="黑体" w:hAnsi="黑体" w:eastAsia="黑体" w:cs="黑体"/>
          <w:color w:val="000000"/>
          <w:highlight w:val="none"/>
          <w:lang w:val="en-US" w:eastAsia="zh-CN"/>
        </w:rPr>
        <w:t>第四章  议事纪律</w:t>
      </w:r>
      <w:bookmarkEnd w:id="7"/>
      <w:bookmarkEnd w:id="8"/>
      <w:bookmarkEnd w:id="9"/>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lang w:val="en-US" w:eastAsia="zh-CN"/>
        </w:rPr>
      </w:pPr>
      <w:r>
        <w:rPr>
          <w:rFonts w:hint="eastAsia" w:ascii="黑体" w:hAnsi="黑体" w:eastAsia="黑体" w:cs="黑体"/>
          <w:color w:val="000000"/>
          <w:highlight w:val="none"/>
        </w:rPr>
        <w:t>第十</w:t>
      </w:r>
      <w:r>
        <w:rPr>
          <w:rFonts w:hint="eastAsia" w:ascii="黑体" w:hAnsi="黑体" w:eastAsia="黑体" w:cs="黑体"/>
          <w:color w:val="000000"/>
          <w:highlight w:val="none"/>
          <w:lang w:val="en-US" w:eastAsia="zh-CN"/>
        </w:rPr>
        <w:t>一</w:t>
      </w:r>
      <w:r>
        <w:rPr>
          <w:rFonts w:hint="eastAsia" w:ascii="黑体" w:hAnsi="黑体" w:eastAsia="黑体" w:cs="黑体"/>
          <w:color w:val="000000"/>
          <w:highlight w:val="none"/>
        </w:rPr>
        <w:t>条</w:t>
      </w:r>
      <w:r>
        <w:rPr>
          <w:rFonts w:hint="eastAsia" w:ascii="黑体" w:hAnsi="黑体" w:eastAsia="黑体" w:cs="黑体"/>
          <w:color w:val="000000"/>
          <w:highlight w:val="none"/>
          <w:lang w:val="en-US" w:eastAsia="zh-CN"/>
        </w:rPr>
        <w:t xml:space="preserve"> </w:t>
      </w:r>
      <w:r>
        <w:rPr>
          <w:rFonts w:hint="eastAsia" w:ascii="仿宋_GB2312" w:hAnsi="仿宋_GB2312" w:eastAsia="仿宋_GB2312" w:cs="仿宋_GB2312"/>
          <w:color w:val="000000"/>
          <w:highlight w:val="none"/>
        </w:rPr>
        <w:t xml:space="preserve"> 系</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部</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党总支成员应按时到会。因故不能出席者需向会议主持人请假，并在会前以口头或书面形式就会议的议题提出意见和建议。未到会人员不得以口头或书面意见的形式参加票决。</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r>
        <w:rPr>
          <w:rFonts w:hint="eastAsia" w:ascii="黑体" w:hAnsi="黑体" w:eastAsia="黑体" w:cs="黑体"/>
          <w:color w:val="000000"/>
          <w:highlight w:val="none"/>
        </w:rPr>
        <w:t>第十</w:t>
      </w:r>
      <w:r>
        <w:rPr>
          <w:rFonts w:hint="eastAsia" w:ascii="黑体" w:hAnsi="黑体" w:eastAsia="黑体" w:cs="黑体"/>
          <w:color w:val="000000"/>
          <w:highlight w:val="none"/>
          <w:lang w:val="en-US" w:eastAsia="zh-CN"/>
        </w:rPr>
        <w:t>二</w:t>
      </w:r>
      <w:r>
        <w:rPr>
          <w:rFonts w:hint="eastAsia" w:ascii="黑体" w:hAnsi="黑体" w:eastAsia="黑体" w:cs="黑体"/>
          <w:color w:val="000000"/>
          <w:highlight w:val="none"/>
        </w:rPr>
        <w:t>条</w:t>
      </w:r>
      <w:r>
        <w:rPr>
          <w:rFonts w:hint="eastAsia" w:ascii="黑体" w:hAnsi="黑体" w:eastAsia="黑体" w:cs="黑体"/>
          <w:color w:val="000000"/>
          <w:highlight w:val="none"/>
          <w:lang w:val="en-US" w:eastAsia="zh-CN"/>
        </w:rPr>
        <w:t xml:space="preserve"> </w:t>
      </w:r>
      <w:r>
        <w:rPr>
          <w:rFonts w:hint="eastAsia" w:ascii="仿宋_GB2312" w:hAnsi="仿宋_GB2312" w:eastAsia="仿宋_GB2312" w:cs="仿宋_GB2312"/>
          <w:color w:val="000000"/>
          <w:highlight w:val="none"/>
        </w:rPr>
        <w:t xml:space="preserve"> 系</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部</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党总支会议集体讨论意见出现严重分歧时，可暂缓决策，留待会后进一步沟通、磋商，并再次召开会议讨论、决策。如果仍不能形成一致的决策意见，应按照少数服从多数的原则，通过票决，形成决策意见后予以实施，必要时应向学校党委报告。</w:t>
      </w:r>
      <w:r>
        <w:rPr>
          <w:rFonts w:hint="eastAsia" w:ascii="仿宋_GB2312" w:hAnsi="仿宋_GB2312" w:eastAsia="仿宋_GB2312" w:cs="仿宋_GB2312"/>
          <w:color w:val="000000"/>
          <w:highlight w:val="none"/>
        </w:rPr>
        <w:br w:type="textWrapping"/>
      </w:r>
      <w:r>
        <w:rPr>
          <w:rFonts w:hint="eastAsia" w:ascii="仿宋_GB2312" w:hAnsi="仿宋_GB2312" w:eastAsia="仿宋_GB2312" w:cs="仿宋_GB2312"/>
          <w:color w:val="000000"/>
          <w:highlight w:val="none"/>
        </w:rPr>
        <w:t>　　对有较大分歧而又十分紧迫的重要问题必须作出决定的，可直接采取投票方式进行表决。</w:t>
      </w:r>
      <w:r>
        <w:rPr>
          <w:rFonts w:hint="eastAsia" w:ascii="仿宋_GB2312" w:hAnsi="仿宋_GB2312" w:eastAsia="仿宋_GB2312" w:cs="仿宋_GB2312"/>
          <w:color w:val="000000"/>
          <w:highlight w:val="none"/>
        </w:rPr>
        <w:br w:type="textWrapping"/>
      </w:r>
      <w:r>
        <w:rPr>
          <w:rFonts w:hint="eastAsia" w:ascii="仿宋_GB2312" w:hAnsi="仿宋_GB2312" w:eastAsia="仿宋_GB2312" w:cs="仿宋_GB2312"/>
          <w:color w:val="000000"/>
          <w:highlight w:val="none"/>
        </w:rPr>
        <w:t>　　票决一般采用记名形式，推荐选拔干部等问题，可采取无记名形式。</w:t>
      </w:r>
      <w:r>
        <w:rPr>
          <w:rFonts w:hint="eastAsia" w:ascii="仿宋_GB2312" w:hAnsi="仿宋_GB2312" w:eastAsia="仿宋_GB2312" w:cs="仿宋_GB2312"/>
          <w:color w:val="000000"/>
          <w:highlight w:val="none"/>
        </w:rPr>
        <w:br w:type="textWrapping"/>
      </w:r>
      <w:r>
        <w:rPr>
          <w:rFonts w:hint="eastAsia" w:ascii="仿宋_GB2312" w:hAnsi="仿宋_GB2312" w:eastAsia="仿宋_GB2312" w:cs="仿宋_GB2312"/>
          <w:color w:val="000000"/>
          <w:highlight w:val="none"/>
        </w:rPr>
        <w:t>　　</w:t>
      </w:r>
      <w:r>
        <w:rPr>
          <w:rFonts w:hint="eastAsia" w:ascii="黑体" w:hAnsi="黑体" w:eastAsia="黑体" w:cs="黑体"/>
          <w:color w:val="000000"/>
          <w:highlight w:val="none"/>
        </w:rPr>
        <w:t>第十</w:t>
      </w:r>
      <w:r>
        <w:rPr>
          <w:rFonts w:hint="eastAsia" w:ascii="黑体" w:hAnsi="黑体" w:eastAsia="黑体" w:cs="黑体"/>
          <w:color w:val="000000"/>
          <w:highlight w:val="none"/>
          <w:lang w:val="en-US" w:eastAsia="zh-CN"/>
        </w:rPr>
        <w:t>三</w:t>
      </w:r>
      <w:r>
        <w:rPr>
          <w:rFonts w:hint="eastAsia" w:ascii="黑体" w:hAnsi="黑体" w:eastAsia="黑体" w:cs="黑体"/>
          <w:color w:val="000000"/>
          <w:highlight w:val="none"/>
        </w:rPr>
        <w:t>条</w:t>
      </w:r>
      <w:r>
        <w:rPr>
          <w:rFonts w:hint="eastAsia" w:ascii="仿宋_GB2312" w:hAnsi="仿宋_GB2312" w:eastAsia="仿宋_GB2312" w:cs="仿宋_GB2312"/>
          <w:color w:val="000000"/>
          <w:highlight w:val="none"/>
        </w:rPr>
        <w:t xml:space="preserve"> </w:t>
      </w:r>
      <w:r>
        <w:rPr>
          <w:rFonts w:hint="eastAsia" w:ascii="仿宋_GB2312" w:hAnsi="仿宋_GB2312" w:cs="仿宋_GB2312"/>
          <w:color w:val="000000"/>
          <w:highlight w:val="none"/>
          <w:lang w:val="en-US" w:eastAsia="zh-CN"/>
        </w:rPr>
        <w:t xml:space="preserve"> </w:t>
      </w:r>
      <w:r>
        <w:rPr>
          <w:rFonts w:hint="eastAsia" w:ascii="仿宋_GB2312" w:hAnsi="仿宋_GB2312" w:eastAsia="仿宋_GB2312" w:cs="仿宋_GB2312"/>
          <w:color w:val="000000"/>
          <w:highlight w:val="none"/>
        </w:rPr>
        <w:t>系</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部</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党总支会议必须有三分之二以上的委员到会方能举行。进行表决时，以赞成票超过应到会委员人数的二分之一形成决议。</w:t>
      </w:r>
      <w:r>
        <w:rPr>
          <w:rFonts w:hint="eastAsia" w:ascii="仿宋_GB2312" w:hAnsi="仿宋_GB2312" w:eastAsia="仿宋_GB2312" w:cs="仿宋_GB2312"/>
          <w:color w:val="000000"/>
          <w:highlight w:val="none"/>
        </w:rPr>
        <w:br w:type="textWrapping"/>
      </w:r>
      <w:r>
        <w:rPr>
          <w:rFonts w:hint="eastAsia" w:ascii="仿宋_GB2312" w:hAnsi="仿宋_GB2312" w:eastAsia="仿宋_GB2312" w:cs="仿宋_GB2312"/>
          <w:color w:val="000000"/>
          <w:highlight w:val="none"/>
        </w:rPr>
        <w:t>　　</w:t>
      </w:r>
      <w:r>
        <w:rPr>
          <w:rFonts w:hint="eastAsia" w:ascii="黑体" w:hAnsi="黑体" w:eastAsia="黑体" w:cs="黑体"/>
          <w:color w:val="000000"/>
          <w:highlight w:val="none"/>
        </w:rPr>
        <w:t>第十</w:t>
      </w:r>
      <w:r>
        <w:rPr>
          <w:rFonts w:hint="eastAsia" w:ascii="黑体" w:hAnsi="黑体" w:eastAsia="黑体" w:cs="黑体"/>
          <w:color w:val="000000"/>
          <w:highlight w:val="none"/>
          <w:lang w:val="en-US" w:eastAsia="zh-CN"/>
        </w:rPr>
        <w:t>四</w:t>
      </w:r>
      <w:r>
        <w:rPr>
          <w:rFonts w:hint="eastAsia" w:ascii="黑体" w:hAnsi="黑体" w:eastAsia="黑体" w:cs="黑体"/>
          <w:color w:val="000000"/>
          <w:highlight w:val="none"/>
        </w:rPr>
        <w:t>条</w:t>
      </w:r>
      <w:r>
        <w:rPr>
          <w:rFonts w:hint="eastAsia" w:ascii="黑体" w:hAnsi="黑体" w:eastAsia="黑体" w:cs="黑体"/>
          <w:color w:val="000000"/>
          <w:highlight w:val="none"/>
          <w:lang w:val="en-US" w:eastAsia="zh-CN"/>
        </w:rPr>
        <w:t xml:space="preserve"> </w:t>
      </w:r>
      <w:r>
        <w:rPr>
          <w:rFonts w:hint="eastAsia" w:ascii="仿宋_GB2312" w:hAnsi="仿宋_GB2312" w:eastAsia="仿宋_GB2312" w:cs="仿宋_GB2312"/>
          <w:color w:val="000000"/>
          <w:highlight w:val="none"/>
        </w:rPr>
        <w:t xml:space="preserve"> 对少数成员的不同意见，应认真加以考虑。但经集体决定的事情，任何个人无权擅自改变；个人有不同意见允许保留，也可以向上级组织报告，但行动上必须无条件服从并坚决执行，并应当以集体的决定或意见对外表态。</w:t>
      </w:r>
      <w:r>
        <w:rPr>
          <w:rFonts w:hint="eastAsia" w:ascii="仿宋_GB2312" w:hAnsi="仿宋_GB2312" w:eastAsia="仿宋_GB2312" w:cs="仿宋_GB2312"/>
          <w:color w:val="000000"/>
          <w:highlight w:val="none"/>
        </w:rPr>
        <w:br w:type="textWrapping"/>
      </w:r>
      <w:r>
        <w:rPr>
          <w:rFonts w:hint="eastAsia" w:ascii="仿宋_GB2312" w:hAnsi="仿宋_GB2312" w:eastAsia="仿宋_GB2312" w:cs="仿宋_GB2312"/>
          <w:color w:val="000000"/>
          <w:highlight w:val="none"/>
        </w:rPr>
        <w:t>　　</w:t>
      </w:r>
      <w:r>
        <w:rPr>
          <w:rFonts w:hint="eastAsia" w:ascii="黑体" w:hAnsi="黑体" w:eastAsia="黑体" w:cs="黑体"/>
          <w:color w:val="000000"/>
          <w:highlight w:val="none"/>
        </w:rPr>
        <w:t>第十</w:t>
      </w:r>
      <w:r>
        <w:rPr>
          <w:rFonts w:hint="eastAsia" w:ascii="黑体" w:hAnsi="黑体" w:eastAsia="黑体" w:cs="黑体"/>
          <w:color w:val="000000"/>
          <w:highlight w:val="none"/>
          <w:lang w:val="en-US" w:eastAsia="zh-CN"/>
        </w:rPr>
        <w:t>五</w:t>
      </w:r>
      <w:r>
        <w:rPr>
          <w:rFonts w:hint="eastAsia" w:ascii="黑体" w:hAnsi="黑体" w:eastAsia="黑体" w:cs="黑体"/>
          <w:color w:val="000000"/>
          <w:highlight w:val="none"/>
        </w:rPr>
        <w:t>条</w:t>
      </w:r>
      <w:r>
        <w:rPr>
          <w:rFonts w:hint="eastAsia" w:ascii="黑体" w:hAnsi="黑体" w:eastAsia="黑体" w:cs="黑体"/>
          <w:color w:val="000000"/>
          <w:highlight w:val="none"/>
          <w:lang w:val="en-US" w:eastAsia="zh-CN"/>
        </w:rPr>
        <w:t xml:space="preserve"> </w:t>
      </w:r>
      <w:r>
        <w:rPr>
          <w:rFonts w:hint="eastAsia" w:ascii="仿宋_GB2312" w:hAnsi="仿宋_GB2312" w:eastAsia="仿宋_GB2312" w:cs="仿宋_GB2312"/>
          <w:color w:val="000000"/>
          <w:highlight w:val="none"/>
        </w:rPr>
        <w:t xml:space="preserve"> 系</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部</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党总支会议议事时，凡涉及本人、配偶、直系血亲、三代以内旁系血亲以及近姻亲关系的职务、奖惩、待遇以及发展党员等问题时，有关成员应主动回避。</w:t>
      </w:r>
      <w:r>
        <w:rPr>
          <w:rFonts w:hint="eastAsia" w:ascii="仿宋_GB2312" w:hAnsi="仿宋_GB2312" w:eastAsia="仿宋_GB2312" w:cs="仿宋_GB2312"/>
          <w:color w:val="000000"/>
          <w:highlight w:val="none"/>
        </w:rPr>
        <w:br w:type="textWrapping"/>
      </w:r>
      <w:r>
        <w:rPr>
          <w:rFonts w:hint="eastAsia" w:ascii="仿宋_GB2312" w:hAnsi="仿宋_GB2312" w:eastAsia="仿宋_GB2312" w:cs="仿宋_GB2312"/>
          <w:color w:val="000000"/>
          <w:highlight w:val="none"/>
        </w:rPr>
        <w:t>　　</w:t>
      </w:r>
      <w:r>
        <w:rPr>
          <w:rFonts w:hint="eastAsia" w:ascii="黑体" w:hAnsi="黑体" w:eastAsia="黑体" w:cs="黑体"/>
          <w:color w:val="000000"/>
          <w:highlight w:val="none"/>
        </w:rPr>
        <w:t>第十</w:t>
      </w:r>
      <w:r>
        <w:rPr>
          <w:rFonts w:hint="eastAsia" w:ascii="黑体" w:hAnsi="黑体" w:eastAsia="黑体" w:cs="黑体"/>
          <w:color w:val="000000"/>
          <w:highlight w:val="none"/>
          <w:lang w:val="en-US" w:eastAsia="zh-CN"/>
        </w:rPr>
        <w:t>六</w:t>
      </w:r>
      <w:r>
        <w:rPr>
          <w:rFonts w:hint="eastAsia" w:ascii="黑体" w:hAnsi="黑体" w:eastAsia="黑体" w:cs="黑体"/>
          <w:color w:val="000000"/>
          <w:highlight w:val="none"/>
        </w:rPr>
        <w:t xml:space="preserve">条 </w:t>
      </w:r>
      <w:r>
        <w:rPr>
          <w:rFonts w:hint="eastAsia" w:ascii="黑体" w:hAnsi="黑体" w:eastAsia="黑体" w:cs="黑体"/>
          <w:color w:val="000000"/>
          <w:highlight w:val="none"/>
          <w:lang w:val="en-US" w:eastAsia="zh-CN"/>
        </w:rPr>
        <w:t xml:space="preserve"> </w:t>
      </w:r>
      <w:r>
        <w:rPr>
          <w:rFonts w:hint="eastAsia" w:ascii="仿宋_GB2312" w:hAnsi="仿宋_GB2312" w:eastAsia="仿宋_GB2312" w:cs="仿宋_GB2312"/>
          <w:color w:val="000000"/>
          <w:highlight w:val="none"/>
        </w:rPr>
        <w:t>须安排专人负责系</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部</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党总支会议记录工作，完整记录决策过程，会后须形成会议纪要，必要时上报学校党委。会议记录、纪要要妥善保留并及时存档。对因故未能出席会议的委员，由会议主持人在会后向其通报有关情况和决定。</w:t>
      </w:r>
    </w:p>
    <w:p>
      <w:pPr>
        <w:keepNext w:val="0"/>
        <w:keepLines w:val="0"/>
        <w:pageBreakBefore w:val="0"/>
        <w:widowControl w:val="0"/>
        <w:kinsoku/>
        <w:wordWrap/>
        <w:overflowPunct/>
        <w:topLinePunct w:val="0"/>
        <w:autoSpaceDE/>
        <w:autoSpaceDN/>
        <w:bidi w:val="0"/>
        <w:adjustRightInd/>
        <w:snapToGrid/>
        <w:spacing w:before="300" w:beforeLines="50" w:after="300" w:afterLines="50" w:line="586" w:lineRule="exact"/>
        <w:jc w:val="center"/>
        <w:textAlignment w:val="auto"/>
        <w:rPr>
          <w:rFonts w:hint="eastAsia" w:ascii="黑体" w:hAnsi="黑体" w:eastAsia="黑体" w:cs="黑体"/>
          <w:color w:val="000000"/>
          <w:highlight w:val="none"/>
          <w:lang w:val="en-US" w:eastAsia="zh-CN"/>
        </w:rPr>
      </w:pPr>
      <w:bookmarkStart w:id="10" w:name="_Toc14495"/>
      <w:bookmarkStart w:id="11" w:name="_Toc12659"/>
      <w:bookmarkStart w:id="12" w:name="_Toc10141"/>
      <w:r>
        <w:rPr>
          <w:rFonts w:hint="eastAsia" w:ascii="黑体" w:hAnsi="黑体" w:eastAsia="黑体" w:cs="黑体"/>
          <w:color w:val="000000"/>
          <w:highlight w:val="none"/>
          <w:lang w:val="en-US" w:eastAsia="zh-CN"/>
        </w:rPr>
        <w:t>第五章  执行与监督</w:t>
      </w:r>
      <w:bookmarkEnd w:id="10"/>
      <w:bookmarkEnd w:id="11"/>
      <w:bookmarkEnd w:id="12"/>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r>
        <w:rPr>
          <w:rFonts w:hint="eastAsia" w:ascii="黑体" w:hAnsi="黑体" w:eastAsia="黑体" w:cs="黑体"/>
          <w:color w:val="000000"/>
          <w:highlight w:val="none"/>
        </w:rPr>
        <w:t>第十</w:t>
      </w:r>
      <w:r>
        <w:rPr>
          <w:rFonts w:hint="eastAsia" w:ascii="黑体" w:hAnsi="黑体" w:eastAsia="黑体" w:cs="黑体"/>
          <w:color w:val="000000"/>
          <w:highlight w:val="none"/>
          <w:lang w:val="en-US" w:eastAsia="zh-CN"/>
        </w:rPr>
        <w:t>七</w:t>
      </w:r>
      <w:r>
        <w:rPr>
          <w:rFonts w:hint="eastAsia" w:ascii="黑体" w:hAnsi="黑体" w:eastAsia="黑体" w:cs="黑体"/>
          <w:color w:val="000000"/>
          <w:highlight w:val="none"/>
        </w:rPr>
        <w:t>条</w:t>
      </w:r>
      <w:r>
        <w:rPr>
          <w:rFonts w:hint="eastAsia" w:ascii="黑体" w:hAnsi="黑体" w:eastAsia="黑体" w:cs="黑体"/>
          <w:color w:val="000000"/>
          <w:highlight w:val="none"/>
          <w:lang w:val="en-US" w:eastAsia="zh-CN"/>
        </w:rPr>
        <w:t xml:space="preserve"> </w:t>
      </w:r>
      <w:r>
        <w:rPr>
          <w:rFonts w:hint="eastAsia" w:ascii="仿宋_GB2312" w:hAnsi="仿宋_GB2312" w:eastAsia="仿宋_GB2312" w:cs="仿宋_GB2312"/>
          <w:color w:val="000000"/>
          <w:highlight w:val="none"/>
        </w:rPr>
        <w:t xml:space="preserve"> 系</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部</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党总支会议需要保密的有关内容和决议、决议形成的过程，与会人员必须严格保密，违者要追究纪律责任，造成严重后果的，将予以党纪处分。</w:t>
      </w:r>
      <w:r>
        <w:rPr>
          <w:rFonts w:hint="eastAsia" w:ascii="仿宋_GB2312" w:hAnsi="仿宋_GB2312" w:eastAsia="仿宋_GB2312" w:cs="仿宋_GB2312"/>
          <w:color w:val="000000"/>
          <w:highlight w:val="none"/>
        </w:rPr>
        <w:br w:type="textWrapping"/>
      </w:r>
      <w:r>
        <w:rPr>
          <w:rFonts w:hint="eastAsia" w:ascii="仿宋_GB2312" w:hAnsi="仿宋_GB2312" w:eastAsia="仿宋_GB2312" w:cs="仿宋_GB2312"/>
          <w:color w:val="000000"/>
          <w:highlight w:val="none"/>
        </w:rPr>
        <w:t>　　</w:t>
      </w:r>
      <w:r>
        <w:rPr>
          <w:rFonts w:hint="eastAsia" w:ascii="黑体" w:hAnsi="黑体" w:eastAsia="黑体" w:cs="黑体"/>
          <w:color w:val="000000"/>
          <w:highlight w:val="none"/>
        </w:rPr>
        <w:t>第十</w:t>
      </w:r>
      <w:r>
        <w:rPr>
          <w:rFonts w:hint="eastAsia" w:ascii="黑体" w:hAnsi="黑体" w:eastAsia="黑体" w:cs="黑体"/>
          <w:color w:val="000000"/>
          <w:highlight w:val="none"/>
          <w:lang w:val="en-US" w:eastAsia="zh-CN"/>
        </w:rPr>
        <w:t>八</w:t>
      </w:r>
      <w:r>
        <w:rPr>
          <w:rFonts w:hint="eastAsia" w:ascii="黑体" w:hAnsi="黑体" w:eastAsia="黑体" w:cs="黑体"/>
          <w:color w:val="000000"/>
          <w:highlight w:val="none"/>
        </w:rPr>
        <w:t>条</w:t>
      </w:r>
      <w:r>
        <w:rPr>
          <w:rFonts w:hint="eastAsia" w:ascii="黑体" w:hAnsi="黑体" w:eastAsia="黑体" w:cs="黑体"/>
          <w:color w:val="000000"/>
          <w:highlight w:val="none"/>
          <w:lang w:val="en-US" w:eastAsia="zh-CN"/>
        </w:rPr>
        <w:t xml:space="preserve"> </w:t>
      </w:r>
      <w:r>
        <w:rPr>
          <w:rFonts w:hint="eastAsia" w:ascii="仿宋_GB2312" w:hAnsi="仿宋_GB2312" w:eastAsia="仿宋_GB2312" w:cs="仿宋_GB2312"/>
          <w:color w:val="000000"/>
          <w:highlight w:val="none"/>
          <w:lang w:val="en-US" w:eastAsia="zh-CN"/>
        </w:rPr>
        <w:t xml:space="preserve"> </w:t>
      </w:r>
      <w:r>
        <w:rPr>
          <w:rFonts w:hint="eastAsia" w:ascii="仿宋_GB2312" w:hAnsi="仿宋_GB2312" w:eastAsia="仿宋_GB2312" w:cs="仿宋_GB2312"/>
          <w:color w:val="000000"/>
          <w:highlight w:val="none"/>
        </w:rPr>
        <w:t>系</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部</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党总支会议的决定、决议，全体会议成员（包括因故未出席者）均应按照各自分工认真组织落实。决策中产生的失误，党总支成员集体承担责任，其中主要领导负主要责任，其他成员负领导责任。</w:t>
      </w:r>
      <w:r>
        <w:rPr>
          <w:rFonts w:hint="eastAsia" w:ascii="仿宋_GB2312" w:hAnsi="仿宋_GB2312" w:eastAsia="仿宋_GB2312" w:cs="仿宋_GB2312"/>
          <w:color w:val="000000"/>
          <w:highlight w:val="none"/>
        </w:rPr>
        <w:br w:type="textWrapping"/>
      </w:r>
      <w:r>
        <w:rPr>
          <w:rFonts w:hint="eastAsia" w:ascii="仿宋_GB2312" w:hAnsi="仿宋_GB2312" w:eastAsia="仿宋_GB2312" w:cs="仿宋_GB2312"/>
          <w:color w:val="000000"/>
          <w:highlight w:val="none"/>
        </w:rPr>
        <w:t>　　</w:t>
      </w:r>
      <w:r>
        <w:rPr>
          <w:rFonts w:hint="eastAsia" w:ascii="黑体" w:hAnsi="黑体" w:eastAsia="黑体" w:cs="黑体"/>
          <w:color w:val="000000"/>
          <w:highlight w:val="none"/>
        </w:rPr>
        <w:t>第十</w:t>
      </w:r>
      <w:r>
        <w:rPr>
          <w:rFonts w:hint="eastAsia" w:ascii="黑体" w:hAnsi="黑体" w:eastAsia="黑体" w:cs="黑体"/>
          <w:color w:val="000000"/>
          <w:highlight w:val="none"/>
          <w:lang w:val="en-US" w:eastAsia="zh-CN"/>
        </w:rPr>
        <w:t>九</w:t>
      </w:r>
      <w:r>
        <w:rPr>
          <w:rFonts w:hint="eastAsia" w:ascii="黑体" w:hAnsi="黑体" w:eastAsia="黑体" w:cs="黑体"/>
          <w:color w:val="000000"/>
          <w:highlight w:val="none"/>
        </w:rPr>
        <w:t>条</w:t>
      </w:r>
      <w:r>
        <w:rPr>
          <w:rFonts w:hint="eastAsia" w:ascii="黑体" w:hAnsi="黑体" w:eastAsia="黑体" w:cs="黑体"/>
          <w:color w:val="000000"/>
          <w:highlight w:val="none"/>
          <w:lang w:val="en-US" w:eastAsia="zh-CN"/>
        </w:rPr>
        <w:t xml:space="preserve"> </w:t>
      </w:r>
      <w:r>
        <w:rPr>
          <w:rFonts w:hint="eastAsia" w:ascii="仿宋_GB2312" w:hAnsi="仿宋_GB2312" w:eastAsia="仿宋_GB2312" w:cs="仿宋_GB2312"/>
          <w:color w:val="000000"/>
          <w:highlight w:val="none"/>
        </w:rPr>
        <w:t xml:space="preserve"> 系</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部</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党总支会议的决定、决议在执行中遇到较大困难或有关情况发生较大变化，经系</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部</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党总支书记同意，可重新召开系</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部</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党总支委员会会议再次进行研究讨论，并形成新的决定或决议。</w:t>
      </w:r>
      <w:r>
        <w:rPr>
          <w:rFonts w:hint="eastAsia" w:ascii="仿宋_GB2312" w:hAnsi="仿宋_GB2312" w:eastAsia="仿宋_GB2312" w:cs="仿宋_GB2312"/>
          <w:color w:val="000000"/>
          <w:highlight w:val="none"/>
        </w:rPr>
        <w:br w:type="textWrapping"/>
      </w:r>
      <w:r>
        <w:rPr>
          <w:rFonts w:hint="eastAsia" w:ascii="仿宋_GB2312" w:hAnsi="仿宋_GB2312" w:eastAsia="仿宋_GB2312" w:cs="仿宋_GB2312"/>
          <w:color w:val="000000"/>
          <w:highlight w:val="none"/>
        </w:rPr>
        <w:t>　　</w:t>
      </w:r>
      <w:r>
        <w:rPr>
          <w:rFonts w:hint="eastAsia" w:ascii="黑体" w:hAnsi="黑体" w:eastAsia="黑体" w:cs="黑体"/>
          <w:color w:val="000000"/>
          <w:highlight w:val="none"/>
        </w:rPr>
        <w:t>第</w:t>
      </w:r>
      <w:r>
        <w:rPr>
          <w:rFonts w:hint="eastAsia" w:ascii="黑体" w:hAnsi="黑体" w:eastAsia="黑体" w:cs="黑体"/>
          <w:color w:val="000000"/>
          <w:highlight w:val="none"/>
          <w:lang w:val="en-US" w:eastAsia="zh-CN"/>
        </w:rPr>
        <w:t>二十</w:t>
      </w:r>
      <w:r>
        <w:rPr>
          <w:rFonts w:hint="eastAsia" w:ascii="黑体" w:hAnsi="黑体" w:eastAsia="黑体" w:cs="黑体"/>
          <w:color w:val="000000"/>
          <w:highlight w:val="none"/>
        </w:rPr>
        <w:t>条</w:t>
      </w:r>
      <w:r>
        <w:rPr>
          <w:rFonts w:hint="eastAsia" w:ascii="黑体" w:hAnsi="黑体" w:eastAsia="黑体" w:cs="黑体"/>
          <w:color w:val="000000"/>
          <w:highlight w:val="none"/>
          <w:lang w:val="en-US" w:eastAsia="zh-CN"/>
        </w:rPr>
        <w:t xml:space="preserve"> </w:t>
      </w:r>
      <w:r>
        <w:rPr>
          <w:rFonts w:hint="eastAsia" w:ascii="仿宋_GB2312" w:hAnsi="仿宋_GB2312" w:eastAsia="仿宋_GB2312" w:cs="仿宋_GB2312"/>
          <w:color w:val="000000"/>
          <w:highlight w:val="none"/>
        </w:rPr>
        <w:t xml:space="preserve"> 系</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部</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党总支会议的决定和决议，必要时应及时向校党委汇报，并传达至本单位全体党员。</w:t>
      </w:r>
      <w:r>
        <w:rPr>
          <w:rFonts w:hint="eastAsia" w:ascii="仿宋_GB2312" w:hAnsi="仿宋_GB2312" w:eastAsia="仿宋_GB2312" w:cs="仿宋_GB2312"/>
          <w:color w:val="000000"/>
          <w:highlight w:val="none"/>
        </w:rPr>
        <w:br w:type="textWrapping"/>
      </w:r>
      <w:r>
        <w:rPr>
          <w:rFonts w:hint="eastAsia" w:ascii="仿宋_GB2312" w:hAnsi="仿宋_GB2312" w:eastAsia="仿宋_GB2312" w:cs="仿宋_GB2312"/>
          <w:color w:val="000000"/>
          <w:highlight w:val="none"/>
        </w:rPr>
        <w:t>　　</w:t>
      </w:r>
      <w:r>
        <w:rPr>
          <w:rFonts w:hint="eastAsia" w:ascii="黑体" w:hAnsi="黑体" w:eastAsia="黑体" w:cs="黑体"/>
          <w:color w:val="000000"/>
          <w:highlight w:val="none"/>
        </w:rPr>
        <w:t>第二十</w:t>
      </w:r>
      <w:r>
        <w:rPr>
          <w:rFonts w:hint="eastAsia" w:ascii="黑体" w:hAnsi="黑体" w:eastAsia="黑体" w:cs="黑体"/>
          <w:color w:val="000000"/>
          <w:highlight w:val="none"/>
          <w:lang w:val="en-US" w:eastAsia="zh-CN"/>
        </w:rPr>
        <w:t>一</w:t>
      </w:r>
      <w:r>
        <w:rPr>
          <w:rFonts w:hint="eastAsia" w:ascii="黑体" w:hAnsi="黑体" w:eastAsia="黑体" w:cs="黑体"/>
          <w:color w:val="000000"/>
          <w:highlight w:val="none"/>
        </w:rPr>
        <w:t>条</w:t>
      </w:r>
      <w:r>
        <w:rPr>
          <w:rFonts w:hint="eastAsia" w:ascii="黑体" w:hAnsi="黑体" w:eastAsia="黑体" w:cs="黑体"/>
          <w:color w:val="000000"/>
          <w:highlight w:val="none"/>
          <w:lang w:val="en-US" w:eastAsia="zh-CN"/>
        </w:rPr>
        <w:t xml:space="preserve"> </w:t>
      </w:r>
      <w:r>
        <w:rPr>
          <w:rFonts w:hint="eastAsia" w:ascii="仿宋_GB2312" w:hAnsi="仿宋_GB2312" w:eastAsia="仿宋_GB2312" w:cs="仿宋_GB2312"/>
          <w:color w:val="000000"/>
          <w:highlight w:val="none"/>
        </w:rPr>
        <w:t xml:space="preserve"> 本规则执行情况纳入系</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部</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班子和领导干部年度考核以及党组织书记抓党建考核内容。对不遵守本规则者，进行批评教育，并责令整改，因此给学校、系部造成重大损失和严重影响的，将依规依纪进行严肃问责</w:t>
      </w:r>
      <w:r>
        <w:rPr>
          <w:rFonts w:hint="eastAsia" w:ascii="仿宋_GB2312" w:hAnsi="仿宋_GB2312" w:eastAsia="仿宋_GB2312" w:cs="仿宋_GB2312"/>
          <w:color w:val="000000"/>
          <w:highlight w:val="none"/>
          <w:lang w:val="en-US" w:eastAsia="zh-CN"/>
        </w:rPr>
        <w:t>追责</w:t>
      </w:r>
      <w:r>
        <w:rPr>
          <w:rFonts w:hint="eastAsia" w:ascii="仿宋_GB2312" w:hAnsi="仿宋_GB2312" w:eastAsia="仿宋_GB2312" w:cs="仿宋_GB2312"/>
          <w:color w:val="000000"/>
          <w:highlight w:val="none"/>
        </w:rPr>
        <w:t>。</w:t>
      </w:r>
    </w:p>
    <w:p>
      <w:pPr>
        <w:keepNext w:val="0"/>
        <w:keepLines w:val="0"/>
        <w:pageBreakBefore w:val="0"/>
        <w:widowControl w:val="0"/>
        <w:kinsoku/>
        <w:wordWrap/>
        <w:overflowPunct/>
        <w:topLinePunct w:val="0"/>
        <w:autoSpaceDE/>
        <w:autoSpaceDN/>
        <w:bidi w:val="0"/>
        <w:adjustRightInd/>
        <w:snapToGrid/>
        <w:spacing w:before="300" w:beforeLines="50" w:after="300" w:afterLines="50" w:line="586" w:lineRule="exact"/>
        <w:jc w:val="center"/>
        <w:textAlignment w:val="auto"/>
        <w:rPr>
          <w:rFonts w:hint="eastAsia" w:ascii="黑体" w:hAnsi="黑体" w:eastAsia="黑体" w:cs="黑体"/>
          <w:color w:val="000000"/>
          <w:highlight w:val="none"/>
          <w:lang w:val="en-US" w:eastAsia="zh-CN"/>
        </w:rPr>
      </w:pPr>
      <w:bookmarkStart w:id="13" w:name="_Toc14941"/>
      <w:bookmarkStart w:id="14" w:name="_Toc21740"/>
      <w:bookmarkStart w:id="15" w:name="_Toc2541"/>
      <w:r>
        <w:rPr>
          <w:rFonts w:hint="eastAsia" w:ascii="黑体" w:hAnsi="黑体" w:eastAsia="黑体" w:cs="黑体"/>
          <w:color w:val="000000"/>
          <w:highlight w:val="none"/>
          <w:lang w:val="en-US" w:eastAsia="zh-CN"/>
        </w:rPr>
        <w:t>第六章  附则</w:t>
      </w:r>
      <w:bookmarkEnd w:id="13"/>
      <w:bookmarkEnd w:id="14"/>
      <w:bookmarkEnd w:id="15"/>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r>
        <w:rPr>
          <w:rFonts w:hint="eastAsia" w:ascii="黑体" w:hAnsi="黑体" w:eastAsia="黑体" w:cs="黑体"/>
          <w:color w:val="000000"/>
          <w:highlight w:val="none"/>
        </w:rPr>
        <w:t>第二十</w:t>
      </w:r>
      <w:r>
        <w:rPr>
          <w:rFonts w:hint="eastAsia" w:ascii="黑体" w:hAnsi="黑体" w:eastAsia="黑体" w:cs="黑体"/>
          <w:color w:val="000000"/>
          <w:highlight w:val="none"/>
          <w:lang w:val="en-US" w:eastAsia="zh-CN"/>
        </w:rPr>
        <w:t>二</w:t>
      </w:r>
      <w:r>
        <w:rPr>
          <w:rFonts w:hint="eastAsia" w:ascii="黑体" w:hAnsi="黑体" w:eastAsia="黑体" w:cs="黑体"/>
          <w:color w:val="000000"/>
          <w:highlight w:val="none"/>
        </w:rPr>
        <w:t>条</w:t>
      </w:r>
      <w:r>
        <w:rPr>
          <w:rFonts w:hint="eastAsia" w:ascii="仿宋_GB2312" w:hAnsi="仿宋_GB2312" w:eastAsia="仿宋_GB2312" w:cs="仿宋_GB2312"/>
          <w:color w:val="000000"/>
          <w:highlight w:val="none"/>
        </w:rPr>
        <w:t xml:space="preserve"> </w:t>
      </w:r>
      <w:r>
        <w:rPr>
          <w:rFonts w:hint="eastAsia" w:ascii="仿宋_GB2312" w:hAnsi="仿宋_GB2312" w:cs="仿宋_GB2312"/>
          <w:color w:val="000000"/>
          <w:highlight w:val="none"/>
          <w:lang w:val="en-US" w:eastAsia="zh-CN"/>
        </w:rPr>
        <w:t xml:space="preserve"> </w:t>
      </w:r>
      <w:r>
        <w:rPr>
          <w:rFonts w:hint="eastAsia" w:ascii="仿宋_GB2312" w:hAnsi="仿宋_GB2312" w:eastAsia="仿宋_GB2312" w:cs="仿宋_GB2312"/>
          <w:color w:val="000000"/>
          <w:highlight w:val="none"/>
        </w:rPr>
        <w:t>学校其他党总支委员会参照本规则执行。</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r>
        <w:rPr>
          <w:rFonts w:hint="eastAsia" w:ascii="黑体" w:hAnsi="黑体" w:eastAsia="黑体" w:cs="黑体"/>
          <w:color w:val="000000"/>
          <w:highlight w:val="none"/>
        </w:rPr>
        <w:t>第二十</w:t>
      </w:r>
      <w:r>
        <w:rPr>
          <w:rFonts w:hint="eastAsia" w:ascii="黑体" w:hAnsi="黑体" w:eastAsia="黑体" w:cs="黑体"/>
          <w:color w:val="000000"/>
          <w:highlight w:val="none"/>
          <w:lang w:val="en-US" w:eastAsia="zh-CN"/>
        </w:rPr>
        <w:t>三</w:t>
      </w:r>
      <w:r>
        <w:rPr>
          <w:rFonts w:hint="eastAsia" w:ascii="黑体" w:hAnsi="黑体" w:eastAsia="黑体" w:cs="黑体"/>
          <w:color w:val="000000"/>
          <w:highlight w:val="none"/>
        </w:rPr>
        <w:t>条</w:t>
      </w:r>
      <w:r>
        <w:rPr>
          <w:rFonts w:hint="eastAsia" w:ascii="仿宋_GB2312" w:hAnsi="仿宋_GB2312" w:eastAsia="仿宋_GB2312" w:cs="仿宋_GB2312"/>
          <w:color w:val="000000"/>
          <w:highlight w:val="none"/>
        </w:rPr>
        <w:t xml:space="preserve"> </w:t>
      </w:r>
      <w:r>
        <w:rPr>
          <w:rFonts w:hint="eastAsia" w:ascii="仿宋_GB2312" w:hAnsi="仿宋_GB2312" w:cs="仿宋_GB2312"/>
          <w:color w:val="000000"/>
          <w:highlight w:val="none"/>
          <w:lang w:val="en-US" w:eastAsia="zh-CN"/>
        </w:rPr>
        <w:t xml:space="preserve"> </w:t>
      </w:r>
      <w:r>
        <w:rPr>
          <w:rFonts w:hint="eastAsia" w:ascii="仿宋_GB2312" w:hAnsi="仿宋_GB2312" w:eastAsia="仿宋_GB2312" w:cs="仿宋_GB2312"/>
          <w:color w:val="000000"/>
          <w:highlight w:val="none"/>
        </w:rPr>
        <w:t>本规则由学校党委</w:t>
      </w:r>
      <w:r>
        <w:rPr>
          <w:rFonts w:hint="eastAsia" w:ascii="仿宋_GB2312" w:hAnsi="仿宋_GB2312" w:eastAsia="仿宋_GB2312" w:cs="仿宋_GB2312"/>
          <w:color w:val="000000"/>
          <w:highlight w:val="none"/>
          <w:lang w:val="en-US" w:eastAsia="zh-CN"/>
        </w:rPr>
        <w:t>组织部</w:t>
      </w:r>
      <w:r>
        <w:rPr>
          <w:rFonts w:hint="eastAsia" w:ascii="仿宋_GB2312" w:hAnsi="仿宋_GB2312" w:eastAsia="仿宋_GB2312" w:cs="仿宋_GB2312"/>
          <w:color w:val="000000"/>
          <w:highlight w:val="none"/>
        </w:rPr>
        <w:t>负责解释。</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r>
        <w:rPr>
          <w:rFonts w:hint="eastAsia" w:ascii="黑体" w:hAnsi="黑体" w:eastAsia="黑体" w:cs="黑体"/>
          <w:color w:val="000000"/>
          <w:highlight w:val="none"/>
        </w:rPr>
        <w:t>第二十</w:t>
      </w:r>
      <w:r>
        <w:rPr>
          <w:rFonts w:hint="eastAsia" w:ascii="黑体" w:hAnsi="黑体" w:eastAsia="黑体" w:cs="黑体"/>
          <w:color w:val="000000"/>
          <w:highlight w:val="none"/>
          <w:lang w:val="en-US" w:eastAsia="zh-CN"/>
        </w:rPr>
        <w:t>四</w:t>
      </w:r>
      <w:r>
        <w:rPr>
          <w:rFonts w:hint="eastAsia" w:ascii="黑体" w:hAnsi="黑体" w:eastAsia="黑体" w:cs="黑体"/>
          <w:color w:val="000000"/>
          <w:highlight w:val="none"/>
        </w:rPr>
        <w:t>条</w:t>
      </w:r>
      <w:r>
        <w:rPr>
          <w:rFonts w:hint="eastAsia" w:ascii="黑体" w:hAnsi="黑体" w:eastAsia="黑体" w:cs="黑体"/>
          <w:color w:val="000000"/>
          <w:highlight w:val="none"/>
          <w:lang w:val="en-US" w:eastAsia="zh-CN"/>
        </w:rPr>
        <w:t xml:space="preserve"> </w:t>
      </w:r>
      <w:r>
        <w:rPr>
          <w:rFonts w:hint="eastAsia" w:ascii="仿宋_GB2312" w:hAnsi="仿宋_GB2312" w:eastAsia="仿宋_GB2312" w:cs="仿宋_GB2312"/>
          <w:color w:val="000000"/>
          <w:highlight w:val="none"/>
        </w:rPr>
        <w:t xml:space="preserve"> 本规则自发布之日起施行。</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color w:val="000000"/>
          <w:sz w:val="44"/>
          <w:szCs w:val="44"/>
          <w:highlight w:val="none"/>
        </w:rPr>
      </w:pPr>
      <w:bookmarkStart w:id="16" w:name="_Toc19109"/>
      <w:bookmarkStart w:id="17" w:name="_Toc84668066"/>
      <w:r>
        <w:rPr>
          <w:rFonts w:hint="eastAsia" w:ascii="方正小标宋简体" w:hAnsi="方正小标宋简体" w:eastAsia="方正小标宋简体" w:cs="方正小标宋简体"/>
          <w:color w:val="000000"/>
          <w:sz w:val="44"/>
          <w:szCs w:val="44"/>
          <w:highlight w:val="none"/>
        </w:rPr>
        <w:t>系</w:t>
      </w:r>
      <w:r>
        <w:rPr>
          <w:rFonts w:hint="eastAsia" w:ascii="方正小标宋简体" w:hAnsi="方正小标宋简体" w:eastAsia="方正小标宋简体" w:cs="方正小标宋简体"/>
          <w:color w:val="000000"/>
          <w:sz w:val="44"/>
          <w:szCs w:val="44"/>
          <w:highlight w:val="none"/>
          <w:lang w:eastAsia="zh-CN"/>
        </w:rPr>
        <w:t>（</w:t>
      </w:r>
      <w:r>
        <w:rPr>
          <w:rFonts w:hint="eastAsia" w:ascii="方正小标宋简体" w:hAnsi="方正小标宋简体" w:eastAsia="方正小标宋简体" w:cs="方正小标宋简体"/>
          <w:color w:val="000000"/>
          <w:sz w:val="44"/>
          <w:szCs w:val="44"/>
          <w:highlight w:val="none"/>
        </w:rPr>
        <w:t>部</w:t>
      </w:r>
      <w:r>
        <w:rPr>
          <w:rFonts w:hint="eastAsia" w:ascii="方正小标宋简体" w:hAnsi="方正小标宋简体" w:eastAsia="方正小标宋简体" w:cs="方正小标宋简体"/>
          <w:color w:val="000000"/>
          <w:sz w:val="44"/>
          <w:szCs w:val="44"/>
          <w:highlight w:val="none"/>
          <w:lang w:eastAsia="zh-CN"/>
        </w:rPr>
        <w:t>）</w:t>
      </w:r>
      <w:r>
        <w:rPr>
          <w:rFonts w:hint="eastAsia" w:ascii="方正小标宋简体" w:hAnsi="方正小标宋简体" w:eastAsia="方正小标宋简体" w:cs="方正小标宋简体"/>
          <w:color w:val="000000"/>
          <w:sz w:val="44"/>
          <w:szCs w:val="44"/>
          <w:highlight w:val="none"/>
        </w:rPr>
        <w:t>党政联席会议制度和议事规则</w:t>
      </w:r>
      <w:bookmarkEnd w:id="16"/>
      <w:bookmarkEnd w:id="17"/>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方正小标宋简体" w:hAnsi="方正小标宋简体" w:eastAsia="方正小标宋简体" w:cs="方正小标宋简体"/>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after="300" w:afterLines="50" w:line="586" w:lineRule="exact"/>
        <w:jc w:val="center"/>
        <w:textAlignment w:val="auto"/>
        <w:rPr>
          <w:rFonts w:hint="eastAsia" w:ascii="黑体" w:hAnsi="黑体" w:eastAsia="黑体" w:cs="黑体"/>
          <w:color w:val="000000"/>
          <w:highlight w:val="none"/>
          <w:lang w:val="en-US" w:eastAsia="zh-CN"/>
        </w:rPr>
      </w:pPr>
      <w:bookmarkStart w:id="18" w:name="_Toc24325"/>
      <w:bookmarkStart w:id="19" w:name="_Toc20498"/>
      <w:bookmarkStart w:id="20" w:name="_Toc19702"/>
      <w:r>
        <w:rPr>
          <w:rFonts w:hint="eastAsia" w:ascii="黑体" w:hAnsi="黑体" w:eastAsia="黑体" w:cs="黑体"/>
          <w:color w:val="000000"/>
          <w:highlight w:val="none"/>
          <w:lang w:val="en-US" w:eastAsia="zh-CN"/>
        </w:rPr>
        <w:t>第一章  总则</w:t>
      </w:r>
      <w:bookmarkEnd w:id="18"/>
      <w:bookmarkEnd w:id="19"/>
      <w:bookmarkEnd w:id="20"/>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r>
        <w:rPr>
          <w:rFonts w:hint="eastAsia" w:ascii="黑体" w:hAnsi="黑体" w:eastAsia="黑体" w:cs="黑体"/>
          <w:color w:val="000000"/>
          <w:highlight w:val="none"/>
        </w:rPr>
        <w:t xml:space="preserve">第一条 </w:t>
      </w:r>
      <w:r>
        <w:rPr>
          <w:rFonts w:hint="eastAsia" w:ascii="黑体" w:hAnsi="黑体" w:eastAsia="黑体" w:cs="黑体"/>
          <w:color w:val="000000"/>
          <w:highlight w:val="none"/>
          <w:lang w:val="en-US" w:eastAsia="zh-CN"/>
        </w:rPr>
        <w:t xml:space="preserve"> </w:t>
      </w:r>
      <w:r>
        <w:rPr>
          <w:rFonts w:hint="eastAsia" w:ascii="仿宋_GB2312" w:hAnsi="仿宋_GB2312" w:eastAsia="仿宋_GB2312" w:cs="仿宋_GB2312"/>
          <w:color w:val="000000"/>
          <w:highlight w:val="none"/>
        </w:rPr>
        <w:t>为保证学校系</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部</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议事制度的民主化、科学化、规范化，进一步加强系</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部</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党政联席会议（以下简称“党政联席会议”）制度建设，根据《中国共产党普通高等学校基层组织工作条例》《高校党建工作重点任务》</w:t>
      </w:r>
      <w:r>
        <w:rPr>
          <w:rFonts w:hint="eastAsia" w:ascii="仿宋_GB2312" w:hAnsi="仿宋_GB2312" w:eastAsia="仿宋_GB2312" w:cs="仿宋_GB2312"/>
          <w:color w:val="000000"/>
          <w:highlight w:val="none"/>
          <w:lang w:val="en-US" w:eastAsia="zh-CN"/>
        </w:rPr>
        <w:t>等规定</w:t>
      </w:r>
      <w:r>
        <w:rPr>
          <w:rFonts w:hint="eastAsia" w:ascii="仿宋_GB2312" w:hAnsi="仿宋_GB2312" w:eastAsia="仿宋_GB2312" w:cs="仿宋_GB2312"/>
          <w:color w:val="000000"/>
          <w:highlight w:val="none"/>
        </w:rPr>
        <w:t>，结合我校实际，制定本制度。</w:t>
      </w:r>
      <w:r>
        <w:rPr>
          <w:rFonts w:hint="eastAsia" w:ascii="仿宋_GB2312" w:hAnsi="仿宋_GB2312" w:eastAsia="仿宋_GB2312" w:cs="仿宋_GB2312"/>
          <w:color w:val="000000"/>
          <w:highlight w:val="none"/>
        </w:rPr>
        <w:br w:type="textWrapping"/>
      </w:r>
      <w:r>
        <w:rPr>
          <w:rFonts w:hint="eastAsia" w:ascii="仿宋_GB2312" w:hAnsi="仿宋_GB2312" w:eastAsia="仿宋_GB2312" w:cs="仿宋_GB2312"/>
          <w:color w:val="000000"/>
          <w:highlight w:val="none"/>
        </w:rPr>
        <w:t>　　</w:t>
      </w:r>
      <w:r>
        <w:rPr>
          <w:rFonts w:hint="eastAsia" w:ascii="黑体" w:hAnsi="黑体" w:eastAsia="黑体" w:cs="黑体"/>
          <w:color w:val="000000"/>
          <w:highlight w:val="none"/>
        </w:rPr>
        <w:t>第二条</w:t>
      </w:r>
      <w:r>
        <w:rPr>
          <w:rFonts w:hint="eastAsia" w:ascii="仿宋_GB2312" w:hAnsi="仿宋_GB2312" w:eastAsia="仿宋_GB2312" w:cs="仿宋_GB2312"/>
          <w:color w:val="000000"/>
          <w:highlight w:val="none"/>
        </w:rPr>
        <w:t xml:space="preserve"> </w:t>
      </w:r>
      <w:r>
        <w:rPr>
          <w:rFonts w:hint="eastAsia" w:ascii="仿宋_GB2312" w:hAnsi="仿宋_GB2312" w:cs="仿宋_GB2312"/>
          <w:color w:val="000000"/>
          <w:highlight w:val="none"/>
          <w:lang w:val="en-US" w:eastAsia="zh-CN"/>
        </w:rPr>
        <w:t xml:space="preserve"> </w:t>
      </w:r>
      <w:r>
        <w:rPr>
          <w:rFonts w:hint="eastAsia" w:ascii="仿宋_GB2312" w:hAnsi="仿宋_GB2312" w:eastAsia="仿宋_GB2312" w:cs="仿宋_GB2312"/>
          <w:color w:val="000000"/>
          <w:highlight w:val="none"/>
        </w:rPr>
        <w:t>系</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部</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实行党政分工合作，共同负责的领导体制。党总支要充分发挥政治核心和监督保证作用，支持系</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部</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主任在其职权范围内独立负责地开展工作。</w:t>
      </w:r>
      <w:r>
        <w:rPr>
          <w:rFonts w:hint="eastAsia" w:ascii="仿宋_GB2312" w:hAnsi="仿宋_GB2312" w:eastAsia="仿宋_GB2312" w:cs="仿宋_GB2312"/>
          <w:color w:val="000000"/>
          <w:highlight w:val="none"/>
        </w:rPr>
        <w:br w:type="textWrapping"/>
      </w:r>
      <w:r>
        <w:rPr>
          <w:rFonts w:hint="eastAsia" w:ascii="仿宋_GB2312" w:hAnsi="仿宋_GB2312" w:eastAsia="仿宋_GB2312" w:cs="仿宋_GB2312"/>
          <w:color w:val="000000"/>
          <w:highlight w:val="none"/>
        </w:rPr>
        <w:t>　　</w:t>
      </w:r>
      <w:r>
        <w:rPr>
          <w:rFonts w:hint="eastAsia" w:ascii="黑体" w:hAnsi="黑体" w:eastAsia="黑体" w:cs="黑体"/>
          <w:color w:val="000000"/>
          <w:highlight w:val="none"/>
        </w:rPr>
        <w:t>第三条</w:t>
      </w:r>
      <w:r>
        <w:rPr>
          <w:rFonts w:hint="eastAsia" w:ascii="仿宋_GB2312" w:hAnsi="仿宋_GB2312" w:eastAsia="仿宋_GB2312" w:cs="仿宋_GB2312"/>
          <w:color w:val="000000"/>
          <w:highlight w:val="none"/>
        </w:rPr>
        <w:t xml:space="preserve"> </w:t>
      </w:r>
      <w:r>
        <w:rPr>
          <w:rFonts w:hint="eastAsia" w:ascii="仿宋_GB2312" w:hAnsi="仿宋_GB2312" w:cs="仿宋_GB2312"/>
          <w:color w:val="000000"/>
          <w:highlight w:val="none"/>
          <w:lang w:val="en-US" w:eastAsia="zh-CN"/>
        </w:rPr>
        <w:t xml:space="preserve"> </w:t>
      </w:r>
      <w:r>
        <w:rPr>
          <w:rFonts w:hint="eastAsia" w:ascii="仿宋_GB2312" w:hAnsi="仿宋_GB2312" w:eastAsia="仿宋_GB2312" w:cs="仿宋_GB2312"/>
          <w:color w:val="000000"/>
          <w:highlight w:val="none"/>
        </w:rPr>
        <w:t>党政联席会议是系</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部</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管理决策的基本形式。系</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部</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工作中的重大事项，须经党政联席会议讨论决定。</w:t>
      </w:r>
      <w:r>
        <w:rPr>
          <w:rFonts w:hint="eastAsia" w:ascii="仿宋_GB2312" w:hAnsi="仿宋_GB2312" w:eastAsia="仿宋_GB2312" w:cs="仿宋_GB2312"/>
          <w:color w:val="000000"/>
          <w:highlight w:val="none"/>
        </w:rPr>
        <w:br w:type="textWrapping"/>
      </w:r>
      <w:r>
        <w:rPr>
          <w:rFonts w:hint="eastAsia" w:ascii="仿宋_GB2312" w:hAnsi="仿宋_GB2312" w:eastAsia="仿宋_GB2312" w:cs="仿宋_GB2312"/>
          <w:color w:val="000000"/>
          <w:highlight w:val="none"/>
        </w:rPr>
        <w:t>　　</w:t>
      </w:r>
      <w:r>
        <w:rPr>
          <w:rFonts w:hint="eastAsia" w:ascii="黑体" w:hAnsi="黑体" w:eastAsia="黑体" w:cs="黑体"/>
          <w:color w:val="000000"/>
          <w:highlight w:val="none"/>
        </w:rPr>
        <w:t>第四条</w:t>
      </w:r>
      <w:r>
        <w:rPr>
          <w:rFonts w:hint="eastAsia" w:ascii="黑体" w:hAnsi="黑体" w:eastAsia="黑体" w:cs="黑体"/>
          <w:color w:val="000000"/>
          <w:highlight w:val="none"/>
          <w:lang w:val="en-US" w:eastAsia="zh-CN"/>
        </w:rPr>
        <w:t xml:space="preserve"> </w:t>
      </w:r>
      <w:r>
        <w:rPr>
          <w:rFonts w:hint="eastAsia" w:ascii="仿宋_GB2312" w:hAnsi="仿宋_GB2312" w:eastAsia="仿宋_GB2312" w:cs="仿宋_GB2312"/>
          <w:color w:val="000000"/>
          <w:highlight w:val="none"/>
        </w:rPr>
        <w:t xml:space="preserve"> 凡属议事范围内的事项都要按照民主集中制原则，由党政联席会议集体讨论，</w:t>
      </w:r>
      <w:r>
        <w:rPr>
          <w:rFonts w:hint="eastAsia" w:ascii="仿宋_GB2312" w:hAnsi="仿宋_GB2312" w:eastAsia="仿宋_GB2312" w:cs="仿宋_GB2312"/>
          <w:color w:val="000000"/>
          <w:highlight w:val="none"/>
          <w:lang w:val="en-US" w:eastAsia="zh-CN"/>
        </w:rPr>
        <w:t>作出</w:t>
      </w:r>
      <w:r>
        <w:rPr>
          <w:rFonts w:hint="eastAsia" w:ascii="仿宋_GB2312" w:hAnsi="仿宋_GB2312" w:eastAsia="仿宋_GB2312" w:cs="仿宋_GB2312"/>
          <w:color w:val="000000"/>
          <w:highlight w:val="none"/>
        </w:rPr>
        <w:t>决定。在议事中要坚持解放思想、实事求是，坚持团结协作、维护全局，坚持集体领导和个人分工负责相结合的原则。</w:t>
      </w:r>
    </w:p>
    <w:p>
      <w:pPr>
        <w:keepNext w:val="0"/>
        <w:keepLines w:val="0"/>
        <w:pageBreakBefore w:val="0"/>
        <w:widowControl w:val="0"/>
        <w:kinsoku/>
        <w:wordWrap/>
        <w:overflowPunct/>
        <w:topLinePunct w:val="0"/>
        <w:autoSpaceDE/>
        <w:autoSpaceDN/>
        <w:bidi w:val="0"/>
        <w:adjustRightInd/>
        <w:snapToGrid/>
        <w:spacing w:before="300" w:beforeLines="50" w:after="300" w:afterLines="50" w:line="586" w:lineRule="exact"/>
        <w:jc w:val="center"/>
        <w:textAlignment w:val="auto"/>
        <w:rPr>
          <w:rFonts w:hint="eastAsia" w:ascii="黑体" w:hAnsi="黑体" w:eastAsia="黑体" w:cs="黑体"/>
          <w:color w:val="000000"/>
          <w:highlight w:val="none"/>
          <w:lang w:val="en-US" w:eastAsia="zh-CN"/>
        </w:rPr>
      </w:pPr>
      <w:bookmarkStart w:id="21" w:name="_Toc11832"/>
      <w:bookmarkStart w:id="22" w:name="_Toc17995"/>
      <w:bookmarkStart w:id="23" w:name="_Toc26400"/>
      <w:r>
        <w:rPr>
          <w:rFonts w:hint="eastAsia" w:ascii="黑体" w:hAnsi="黑体" w:eastAsia="黑体" w:cs="黑体"/>
          <w:color w:val="000000"/>
          <w:highlight w:val="none"/>
          <w:lang w:val="en-US" w:eastAsia="zh-CN"/>
        </w:rPr>
        <w:t>第二章  议事范围</w:t>
      </w:r>
      <w:bookmarkEnd w:id="21"/>
      <w:bookmarkEnd w:id="22"/>
      <w:bookmarkEnd w:id="23"/>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r>
        <w:rPr>
          <w:rFonts w:hint="eastAsia" w:ascii="黑体" w:hAnsi="黑体" w:eastAsia="黑体" w:cs="黑体"/>
          <w:color w:val="000000"/>
          <w:highlight w:val="none"/>
          <w:lang w:val="en-US" w:eastAsia="zh-CN"/>
        </w:rPr>
        <w:t xml:space="preserve">第五条 </w:t>
      </w:r>
      <w:r>
        <w:rPr>
          <w:rFonts w:hint="eastAsia" w:ascii="仿宋_GB2312" w:hAnsi="仿宋_GB2312" w:eastAsia="仿宋_GB2312" w:cs="仿宋_GB2312"/>
          <w:color w:val="000000"/>
          <w:highlight w:val="none"/>
          <w:lang w:val="en-US" w:eastAsia="zh-CN"/>
        </w:rPr>
        <w:t xml:space="preserve"> 系（</w:t>
      </w:r>
      <w:r>
        <w:rPr>
          <w:rFonts w:hint="eastAsia" w:ascii="仿宋_GB2312" w:hAnsi="仿宋_GB2312" w:eastAsia="仿宋_GB2312" w:cs="仿宋_GB2312"/>
          <w:color w:val="000000"/>
          <w:highlight w:val="none"/>
        </w:rPr>
        <w:t>部</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的重大工作事项，均应由党政联席会议集体讨论决定。</w:t>
      </w:r>
      <w:r>
        <w:rPr>
          <w:rFonts w:hint="eastAsia" w:ascii="仿宋_GB2312" w:hAnsi="仿宋_GB2312" w:eastAsia="仿宋_GB2312" w:cs="仿宋_GB2312"/>
          <w:color w:val="000000"/>
          <w:highlight w:val="none"/>
        </w:rPr>
        <w:br w:type="textWrapping"/>
      </w:r>
      <w:r>
        <w:rPr>
          <w:rFonts w:hint="eastAsia" w:ascii="仿宋_GB2312" w:hAnsi="仿宋_GB2312" w:eastAsia="仿宋_GB2312" w:cs="仿宋_GB2312"/>
          <w:color w:val="000000"/>
          <w:highlight w:val="none"/>
        </w:rPr>
        <w:t>　　</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一</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学习传达贯彻上级和学校党政有关重要文件、指示、决议、决定，研究决定学校工作部署和规章制度在</w:t>
      </w:r>
      <w:r>
        <w:rPr>
          <w:rFonts w:hint="eastAsia" w:ascii="仿宋_GB2312" w:hAnsi="仿宋_GB2312" w:eastAsia="仿宋_GB2312" w:cs="仿宋_GB2312"/>
          <w:color w:val="000000"/>
          <w:highlight w:val="none"/>
          <w:lang w:val="en-US" w:eastAsia="zh-CN"/>
        </w:rPr>
        <w:t>本系（部）</w:t>
      </w:r>
      <w:r>
        <w:rPr>
          <w:rFonts w:hint="eastAsia" w:ascii="仿宋_GB2312" w:hAnsi="仿宋_GB2312" w:eastAsia="仿宋_GB2312" w:cs="仿宋_GB2312"/>
          <w:color w:val="000000"/>
          <w:highlight w:val="none"/>
        </w:rPr>
        <w:t>的具体贯彻实施意见。</w:t>
      </w:r>
      <w:r>
        <w:rPr>
          <w:rFonts w:hint="eastAsia" w:ascii="仿宋_GB2312" w:hAnsi="仿宋_GB2312" w:eastAsia="仿宋_GB2312" w:cs="仿宋_GB2312"/>
          <w:color w:val="000000"/>
          <w:highlight w:val="none"/>
        </w:rPr>
        <w:br w:type="textWrapping"/>
      </w:r>
      <w:r>
        <w:rPr>
          <w:rFonts w:hint="eastAsia" w:ascii="仿宋_GB2312" w:hAnsi="仿宋_GB2312" w:eastAsia="仿宋_GB2312" w:cs="仿宋_GB2312"/>
          <w:color w:val="000000"/>
          <w:highlight w:val="none"/>
        </w:rPr>
        <w:t>　　</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二</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研究贯彻落实学校党委、行政的各项决议、决定的实施措施。</w:t>
      </w:r>
      <w:r>
        <w:rPr>
          <w:rFonts w:hint="eastAsia" w:ascii="仿宋_GB2312" w:hAnsi="仿宋_GB2312" w:eastAsia="仿宋_GB2312" w:cs="仿宋_GB2312"/>
          <w:color w:val="000000"/>
          <w:highlight w:val="none"/>
        </w:rPr>
        <w:br w:type="textWrapping"/>
      </w:r>
      <w:r>
        <w:rPr>
          <w:rFonts w:hint="eastAsia" w:ascii="仿宋_GB2312" w:hAnsi="仿宋_GB2312" w:eastAsia="仿宋_GB2312" w:cs="仿宋_GB2312"/>
          <w:color w:val="000000"/>
          <w:highlight w:val="none"/>
        </w:rPr>
        <w:t>　</w:t>
      </w:r>
      <w:r>
        <w:rPr>
          <w:rFonts w:hint="eastAsia" w:ascii="仿宋_GB2312" w:hAnsi="仿宋_GB2312" w:eastAsia="仿宋_GB2312" w:cs="仿宋_GB2312"/>
          <w:color w:val="000000"/>
          <w:highlight w:val="none"/>
          <w:lang w:val="en-US" w:eastAsia="zh-CN"/>
        </w:rPr>
        <w:t xml:space="preserve">  </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三</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根据学校总体规划、年度工作要点和有关决策，制定系、部发展计划和年度、学期工作计划，并认真组织实施。</w:t>
      </w:r>
      <w:r>
        <w:rPr>
          <w:rFonts w:hint="eastAsia" w:ascii="仿宋_GB2312" w:hAnsi="仿宋_GB2312" w:eastAsia="仿宋_GB2312" w:cs="仿宋_GB2312"/>
          <w:color w:val="000000"/>
          <w:highlight w:val="none"/>
        </w:rPr>
        <w:br w:type="textWrapping"/>
      </w:r>
      <w:r>
        <w:rPr>
          <w:rFonts w:hint="eastAsia" w:ascii="仿宋_GB2312" w:hAnsi="仿宋_GB2312" w:eastAsia="仿宋_GB2312" w:cs="仿宋_GB2312"/>
          <w:color w:val="000000"/>
          <w:highlight w:val="none"/>
        </w:rPr>
        <w:t>　　</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四</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研究系</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部</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党的建设、党风廉政建设，教职工思想政治工作和精神文明建设等方面的重要工作。</w:t>
      </w:r>
      <w:r>
        <w:rPr>
          <w:rFonts w:hint="eastAsia" w:ascii="仿宋_GB2312" w:hAnsi="仿宋_GB2312" w:eastAsia="仿宋_GB2312" w:cs="仿宋_GB2312"/>
          <w:color w:val="000000"/>
          <w:highlight w:val="none"/>
        </w:rPr>
        <w:br w:type="textWrapping"/>
      </w:r>
      <w:r>
        <w:rPr>
          <w:rFonts w:hint="eastAsia" w:ascii="仿宋_GB2312" w:hAnsi="仿宋_GB2312" w:eastAsia="仿宋_GB2312" w:cs="仿宋_GB2312"/>
          <w:color w:val="000000"/>
          <w:highlight w:val="none"/>
        </w:rPr>
        <w:t>　　</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五</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研究系</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部</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学科专业建设、实验室建设和人才培养规划、师资队伍建设规划。</w:t>
      </w:r>
      <w:r>
        <w:rPr>
          <w:rFonts w:hint="eastAsia" w:ascii="仿宋_GB2312" w:hAnsi="仿宋_GB2312" w:eastAsia="仿宋_GB2312" w:cs="仿宋_GB2312"/>
          <w:color w:val="000000"/>
          <w:highlight w:val="none"/>
        </w:rPr>
        <w:br w:type="textWrapping"/>
      </w:r>
      <w:r>
        <w:rPr>
          <w:rFonts w:hint="eastAsia" w:ascii="仿宋_GB2312" w:hAnsi="仿宋_GB2312" w:eastAsia="仿宋_GB2312" w:cs="仿宋_GB2312"/>
          <w:color w:val="000000"/>
          <w:highlight w:val="none"/>
        </w:rPr>
        <w:t>　　</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六</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研究系</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部</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教学和科研工作中的重大事项、重大对外合作项目。</w:t>
      </w:r>
      <w:r>
        <w:rPr>
          <w:rFonts w:hint="eastAsia" w:ascii="仿宋_GB2312" w:hAnsi="仿宋_GB2312" w:eastAsia="仿宋_GB2312" w:cs="仿宋_GB2312"/>
          <w:color w:val="000000"/>
          <w:highlight w:val="none"/>
        </w:rPr>
        <w:br w:type="textWrapping"/>
      </w:r>
      <w:r>
        <w:rPr>
          <w:rFonts w:hint="eastAsia" w:ascii="仿宋_GB2312" w:hAnsi="仿宋_GB2312" w:eastAsia="仿宋_GB2312" w:cs="仿宋_GB2312"/>
          <w:color w:val="000000"/>
          <w:highlight w:val="none"/>
        </w:rPr>
        <w:t>　　</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七</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研究上报用人计划、内部人员调动方案。</w:t>
      </w:r>
      <w:r>
        <w:rPr>
          <w:rFonts w:hint="eastAsia" w:ascii="仿宋_GB2312" w:hAnsi="仿宋_GB2312" w:eastAsia="仿宋_GB2312" w:cs="仿宋_GB2312"/>
          <w:color w:val="000000"/>
          <w:highlight w:val="none"/>
        </w:rPr>
        <w:br w:type="textWrapping"/>
      </w:r>
      <w:r>
        <w:rPr>
          <w:rFonts w:hint="eastAsia" w:ascii="仿宋_GB2312" w:hAnsi="仿宋_GB2312" w:eastAsia="仿宋_GB2312" w:cs="仿宋_GB2312"/>
          <w:color w:val="000000"/>
          <w:highlight w:val="none"/>
        </w:rPr>
        <w:t>　　</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八</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研究</w:t>
      </w:r>
      <w:r>
        <w:rPr>
          <w:rFonts w:hint="eastAsia" w:ascii="仿宋_GB2312" w:hAnsi="仿宋_GB2312" w:eastAsia="仿宋_GB2312" w:cs="仿宋_GB2312"/>
          <w:color w:val="000000"/>
          <w:highlight w:val="none"/>
          <w:lang w:val="en-US" w:eastAsia="zh-CN"/>
        </w:rPr>
        <w:t>决定</w:t>
      </w:r>
      <w:r>
        <w:rPr>
          <w:rFonts w:hint="eastAsia" w:ascii="仿宋_GB2312" w:hAnsi="仿宋_GB2312" w:eastAsia="仿宋_GB2312" w:cs="仿宋_GB2312"/>
          <w:color w:val="000000"/>
          <w:highlight w:val="none"/>
        </w:rPr>
        <w:t>表彰或处罚</w:t>
      </w:r>
      <w:r>
        <w:rPr>
          <w:rFonts w:hint="eastAsia" w:ascii="仿宋_GB2312" w:hAnsi="仿宋_GB2312" w:eastAsia="仿宋_GB2312" w:cs="仿宋_GB2312"/>
          <w:color w:val="000000"/>
          <w:highlight w:val="none"/>
          <w:lang w:val="en-US" w:eastAsia="zh-CN"/>
        </w:rPr>
        <w:t>和</w:t>
      </w:r>
      <w:r>
        <w:rPr>
          <w:rFonts w:hint="eastAsia" w:ascii="仿宋_GB2312" w:hAnsi="仿宋_GB2312" w:eastAsia="仿宋_GB2312" w:cs="仿宋_GB2312"/>
          <w:color w:val="000000"/>
          <w:highlight w:val="none"/>
        </w:rPr>
        <w:t>学校要求系</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部</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审核或推荐的教学、科研、管理等重要奖励的集体和个人名单。　　</w:t>
      </w:r>
    </w:p>
    <w:p>
      <w:pPr>
        <w:keepNext w:val="0"/>
        <w:keepLines w:val="0"/>
        <w:pageBreakBefore w:val="0"/>
        <w:widowControl w:val="0"/>
        <w:kinsoku/>
        <w:wordWrap/>
        <w:overflowPunct/>
        <w:topLinePunct w:val="0"/>
        <w:autoSpaceDE/>
        <w:autoSpaceDN/>
        <w:bidi w:val="0"/>
        <w:adjustRightInd/>
        <w:snapToGrid/>
        <w:spacing w:line="586" w:lineRule="exact"/>
        <w:ind w:left="632" w:leftChars="200" w:firstLine="0" w:firstLineChars="0"/>
        <w:textAlignment w:val="auto"/>
        <w:rPr>
          <w:rFonts w:hint="eastAsia" w:ascii="仿宋_GB2312" w:hAnsi="仿宋_GB2312" w:eastAsia="仿宋_GB2312" w:cs="仿宋_GB2312"/>
          <w:color w:val="000000"/>
          <w:highlight w:val="none"/>
        </w:rPr>
      </w:pPr>
      <w:r>
        <w:rPr>
          <w:rFonts w:hint="eastAsia" w:ascii="仿宋_GB2312" w:hAnsi="仿宋_GB2312" w:cs="仿宋_GB2312"/>
          <w:color w:val="000000"/>
          <w:highlight w:val="none"/>
          <w:lang w:eastAsia="zh-CN"/>
        </w:rPr>
        <w:t>（</w:t>
      </w:r>
      <w:r>
        <w:rPr>
          <w:rFonts w:hint="eastAsia" w:ascii="仿宋_GB2312" w:hAnsi="仿宋_GB2312" w:cs="仿宋_GB2312"/>
          <w:color w:val="000000"/>
          <w:highlight w:val="none"/>
          <w:lang w:val="en-US" w:eastAsia="zh-CN"/>
        </w:rPr>
        <w:t>九</w:t>
      </w:r>
      <w:r>
        <w:rPr>
          <w:rFonts w:hint="eastAsia" w:ascii="仿宋_GB2312" w:hAnsi="仿宋_GB2312" w:cs="仿宋_GB2312"/>
          <w:color w:val="000000"/>
          <w:highlight w:val="none"/>
          <w:lang w:eastAsia="zh-CN"/>
        </w:rPr>
        <w:t>）</w:t>
      </w:r>
      <w:r>
        <w:rPr>
          <w:rFonts w:hint="eastAsia" w:ascii="仿宋_GB2312" w:hAnsi="仿宋_GB2312" w:eastAsia="仿宋_GB2312" w:cs="仿宋_GB2312"/>
          <w:color w:val="000000"/>
          <w:highlight w:val="none"/>
        </w:rPr>
        <w:t>研究学生教育管理、安全稳定等方面的工作。</w:t>
      </w:r>
      <w:r>
        <w:rPr>
          <w:rFonts w:hint="eastAsia" w:ascii="仿宋_GB2312" w:hAnsi="仿宋_GB2312" w:eastAsia="仿宋_GB2312" w:cs="仿宋_GB2312"/>
          <w:color w:val="000000"/>
          <w:highlight w:val="none"/>
        </w:rPr>
        <w:br w:type="textWrapping"/>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十</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研究向学校请示、报告的有关重要问题。</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十一</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研究其他需要提交党政联席会议讨论决定的</w:t>
      </w:r>
      <w:r>
        <w:rPr>
          <w:rFonts w:hint="eastAsia" w:ascii="仿宋_GB2312" w:hAnsi="仿宋_GB2312" w:eastAsia="仿宋_GB2312" w:cs="仿宋_GB2312"/>
          <w:color w:val="000000"/>
          <w:highlight w:val="none"/>
          <w:lang w:val="en-US" w:eastAsia="zh-CN"/>
        </w:rPr>
        <w:t>事项。</w:t>
      </w:r>
    </w:p>
    <w:p>
      <w:pPr>
        <w:keepNext w:val="0"/>
        <w:keepLines w:val="0"/>
        <w:pageBreakBefore w:val="0"/>
        <w:widowControl w:val="0"/>
        <w:kinsoku/>
        <w:wordWrap/>
        <w:overflowPunct/>
        <w:topLinePunct w:val="0"/>
        <w:autoSpaceDE/>
        <w:autoSpaceDN/>
        <w:bidi w:val="0"/>
        <w:adjustRightInd/>
        <w:snapToGrid/>
        <w:spacing w:before="300" w:beforeLines="50" w:after="300" w:afterLines="50" w:line="586" w:lineRule="exact"/>
        <w:jc w:val="center"/>
        <w:textAlignment w:val="auto"/>
        <w:rPr>
          <w:rFonts w:hint="eastAsia" w:ascii="黑体" w:hAnsi="黑体" w:eastAsia="黑体" w:cs="黑体"/>
          <w:color w:val="000000"/>
          <w:highlight w:val="none"/>
          <w:lang w:val="en-US" w:eastAsia="zh-CN"/>
        </w:rPr>
      </w:pPr>
      <w:bookmarkStart w:id="24" w:name="_Toc12384"/>
      <w:bookmarkStart w:id="25" w:name="_Toc23204"/>
      <w:bookmarkStart w:id="26" w:name="_Toc18345"/>
      <w:r>
        <w:rPr>
          <w:rFonts w:hint="eastAsia" w:ascii="黑体" w:hAnsi="黑体" w:eastAsia="黑体" w:cs="黑体"/>
          <w:color w:val="000000"/>
          <w:highlight w:val="none"/>
          <w:lang w:val="en-US" w:eastAsia="zh-CN"/>
        </w:rPr>
        <w:t>第三章  议事程序</w:t>
      </w:r>
      <w:bookmarkEnd w:id="24"/>
      <w:bookmarkEnd w:id="25"/>
      <w:bookmarkEnd w:id="26"/>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r>
        <w:rPr>
          <w:rFonts w:hint="eastAsia" w:ascii="黑体" w:hAnsi="黑体" w:eastAsia="黑体" w:cs="黑体"/>
          <w:color w:val="000000"/>
          <w:highlight w:val="none"/>
          <w:lang w:val="en-US" w:eastAsia="zh-CN"/>
        </w:rPr>
        <w:t>第六条</w:t>
      </w:r>
      <w:r>
        <w:rPr>
          <w:rFonts w:hint="eastAsia" w:ascii="仿宋_GB2312" w:hAnsi="仿宋_GB2312" w:eastAsia="仿宋_GB2312" w:cs="仿宋_GB2312"/>
          <w:color w:val="000000"/>
          <w:highlight w:val="none"/>
          <w:lang w:val="en-US" w:eastAsia="zh-CN"/>
        </w:rPr>
        <w:t xml:space="preserve"> </w:t>
      </w:r>
      <w:r>
        <w:rPr>
          <w:rFonts w:hint="eastAsia" w:ascii="仿宋_GB2312" w:hAnsi="仿宋_GB2312" w:cs="仿宋_GB2312"/>
          <w:color w:val="000000"/>
          <w:highlight w:val="none"/>
          <w:lang w:val="en-US" w:eastAsia="zh-CN"/>
        </w:rPr>
        <w:t xml:space="preserve"> </w:t>
      </w:r>
      <w:r>
        <w:rPr>
          <w:rFonts w:hint="eastAsia" w:ascii="仿宋_GB2312" w:hAnsi="仿宋_GB2312" w:eastAsia="仿宋_GB2312" w:cs="仿宋_GB2312"/>
          <w:color w:val="000000"/>
          <w:highlight w:val="none"/>
        </w:rPr>
        <w:t>党政联席会议的议题由党政主要负责人共同研究确定。党政联席会议的其他成员需要提交会议讨论的问题应事先向党政主要负责人提出，由党政主要负责人协商后确定是否列入会议议题。</w:t>
      </w:r>
      <w:r>
        <w:rPr>
          <w:rFonts w:hint="eastAsia" w:ascii="仿宋_GB2312" w:hAnsi="仿宋_GB2312" w:eastAsia="仿宋_GB2312" w:cs="仿宋_GB2312"/>
          <w:color w:val="000000"/>
          <w:highlight w:val="none"/>
        </w:rPr>
        <w:br w:type="textWrapping"/>
      </w:r>
      <w:r>
        <w:rPr>
          <w:rFonts w:hint="eastAsia" w:ascii="仿宋_GB2312" w:hAnsi="仿宋_GB2312" w:eastAsia="仿宋_GB2312" w:cs="仿宋_GB2312"/>
          <w:color w:val="000000"/>
          <w:highlight w:val="none"/>
        </w:rPr>
        <w:t>　　</w:t>
      </w:r>
      <w:r>
        <w:rPr>
          <w:rFonts w:hint="eastAsia" w:ascii="黑体" w:hAnsi="黑体" w:eastAsia="黑体" w:cs="黑体"/>
          <w:color w:val="000000"/>
          <w:highlight w:val="none"/>
          <w:lang w:val="en-US" w:eastAsia="zh-CN"/>
        </w:rPr>
        <w:t xml:space="preserve">第七条 </w:t>
      </w:r>
      <w:r>
        <w:rPr>
          <w:rFonts w:hint="eastAsia" w:ascii="仿宋_GB2312" w:hAnsi="仿宋_GB2312" w:eastAsia="仿宋_GB2312" w:cs="仿宋_GB2312"/>
          <w:color w:val="000000"/>
          <w:highlight w:val="none"/>
          <w:lang w:val="en-US" w:eastAsia="zh-CN"/>
        </w:rPr>
        <w:t xml:space="preserve"> </w:t>
      </w:r>
      <w:r>
        <w:rPr>
          <w:rFonts w:hint="eastAsia" w:ascii="仿宋_GB2312" w:hAnsi="仿宋_GB2312" w:eastAsia="仿宋_GB2312" w:cs="仿宋_GB2312"/>
          <w:color w:val="000000"/>
          <w:highlight w:val="none"/>
        </w:rPr>
        <w:t>凡未经党政主要负责人会前共同审定的议题，且非突发性重大事件的，不得临时动议列入党政联席会议的议程。</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r>
        <w:rPr>
          <w:rFonts w:hint="eastAsia" w:ascii="黑体" w:hAnsi="黑体" w:eastAsia="黑体" w:cs="黑体"/>
          <w:color w:val="000000"/>
          <w:highlight w:val="none"/>
          <w:lang w:val="en-US" w:eastAsia="zh-CN"/>
        </w:rPr>
        <w:t>第八条</w:t>
      </w:r>
      <w:r>
        <w:rPr>
          <w:rFonts w:hint="eastAsia" w:ascii="仿宋_GB2312" w:hAnsi="仿宋_GB2312" w:eastAsia="仿宋_GB2312" w:cs="仿宋_GB2312"/>
          <w:color w:val="000000"/>
          <w:highlight w:val="none"/>
        </w:rPr>
        <w:t xml:space="preserve"> </w:t>
      </w:r>
      <w:r>
        <w:rPr>
          <w:rFonts w:hint="eastAsia" w:ascii="仿宋_GB2312" w:hAnsi="仿宋_GB2312" w:eastAsia="仿宋_GB2312" w:cs="仿宋_GB2312"/>
          <w:color w:val="000000"/>
          <w:highlight w:val="none"/>
          <w:lang w:val="en-US" w:eastAsia="zh-CN"/>
        </w:rPr>
        <w:t>系（部）党政联席会议原则上一个月召开一次，特殊需要时可临时召开。</w:t>
      </w:r>
      <w:r>
        <w:rPr>
          <w:rFonts w:hint="eastAsia" w:ascii="仿宋_GB2312" w:hAnsi="仿宋_GB2312" w:eastAsia="仿宋_GB2312" w:cs="仿宋_GB2312"/>
          <w:color w:val="000000"/>
          <w:highlight w:val="none"/>
        </w:rPr>
        <w:br w:type="textWrapping"/>
      </w:r>
      <w:r>
        <w:rPr>
          <w:rFonts w:hint="eastAsia" w:ascii="仿宋_GB2312" w:hAnsi="仿宋_GB2312" w:eastAsia="仿宋_GB2312" w:cs="仿宋_GB2312"/>
          <w:color w:val="000000"/>
          <w:highlight w:val="none"/>
        </w:rPr>
        <w:t>　　</w:t>
      </w:r>
      <w:r>
        <w:rPr>
          <w:rFonts w:hint="eastAsia" w:ascii="黑体" w:hAnsi="黑体" w:eastAsia="黑体" w:cs="黑体"/>
          <w:color w:val="000000"/>
          <w:highlight w:val="none"/>
          <w:lang w:val="en-US" w:eastAsia="zh-CN"/>
        </w:rPr>
        <w:t>第九条</w:t>
      </w:r>
      <w:r>
        <w:rPr>
          <w:rFonts w:hint="eastAsia" w:ascii="仿宋_GB2312" w:hAnsi="仿宋_GB2312" w:eastAsia="仿宋_GB2312" w:cs="仿宋_GB2312"/>
          <w:color w:val="000000"/>
          <w:highlight w:val="none"/>
        </w:rPr>
        <w:t xml:space="preserve"> </w:t>
      </w:r>
      <w:r>
        <w:rPr>
          <w:rFonts w:hint="eastAsia" w:ascii="仿宋_GB2312" w:hAnsi="仿宋_GB2312" w:cs="仿宋_GB2312"/>
          <w:color w:val="000000"/>
          <w:highlight w:val="none"/>
          <w:lang w:val="en-US" w:eastAsia="zh-CN"/>
        </w:rPr>
        <w:t xml:space="preserve"> </w:t>
      </w:r>
      <w:r>
        <w:rPr>
          <w:rFonts w:hint="eastAsia" w:ascii="仿宋_GB2312" w:hAnsi="仿宋_GB2312" w:eastAsia="仿宋_GB2312" w:cs="仿宋_GB2312"/>
          <w:color w:val="000000"/>
          <w:highlight w:val="none"/>
        </w:rPr>
        <w:t>党政联席会议成员由</w:t>
      </w:r>
      <w:r>
        <w:rPr>
          <w:rFonts w:hint="eastAsia" w:ascii="仿宋_GB2312" w:hAnsi="仿宋_GB2312" w:eastAsia="仿宋_GB2312" w:cs="仿宋_GB2312"/>
          <w:color w:val="000000"/>
          <w:highlight w:val="none"/>
          <w:lang w:val="en-US" w:eastAsia="zh-CN"/>
        </w:rPr>
        <w:t>系（部）</w:t>
      </w:r>
      <w:r>
        <w:rPr>
          <w:rFonts w:hint="eastAsia" w:ascii="仿宋_GB2312" w:hAnsi="仿宋_GB2312" w:eastAsia="仿宋_GB2312" w:cs="仿宋_GB2312"/>
          <w:color w:val="000000"/>
          <w:highlight w:val="none"/>
        </w:rPr>
        <w:t>党总支书记、</w:t>
      </w:r>
      <w:r>
        <w:rPr>
          <w:rFonts w:hint="eastAsia" w:ascii="仿宋_GB2312" w:hAnsi="仿宋_GB2312" w:eastAsia="仿宋_GB2312" w:cs="仿宋_GB2312"/>
          <w:color w:val="000000"/>
          <w:highlight w:val="none"/>
          <w:lang w:eastAsia="zh-CN"/>
        </w:rPr>
        <w:t>副书记、</w:t>
      </w:r>
      <w:r>
        <w:rPr>
          <w:rFonts w:hint="eastAsia" w:ascii="仿宋_GB2312" w:hAnsi="仿宋_GB2312" w:eastAsia="仿宋_GB2312" w:cs="仿宋_GB2312"/>
          <w:color w:val="000000"/>
          <w:highlight w:val="none"/>
        </w:rPr>
        <w:t>主任、副主任、办公室主任、学工办公室主任、团总支书记、教研室主任组成，根据议题必要时经</w:t>
      </w:r>
      <w:r>
        <w:rPr>
          <w:rFonts w:hint="eastAsia" w:ascii="仿宋_GB2312" w:hAnsi="仿宋_GB2312" w:eastAsia="仿宋_GB2312" w:cs="仿宋_GB2312"/>
          <w:color w:val="000000"/>
          <w:highlight w:val="none"/>
          <w:lang w:val="en-US" w:eastAsia="zh-CN"/>
        </w:rPr>
        <w:t>系（部）</w:t>
      </w:r>
      <w:r>
        <w:rPr>
          <w:rFonts w:hint="eastAsia" w:ascii="仿宋_GB2312" w:hAnsi="仿宋_GB2312" w:eastAsia="仿宋_GB2312" w:cs="仿宋_GB2312"/>
          <w:color w:val="000000"/>
          <w:highlight w:val="none"/>
        </w:rPr>
        <w:t>党政主要负责人共同研究后，可以扩大有关人员参加会议。</w:t>
      </w:r>
      <w:r>
        <w:rPr>
          <w:rFonts w:hint="eastAsia" w:ascii="仿宋_GB2312" w:hAnsi="仿宋_GB2312" w:eastAsia="仿宋_GB2312" w:cs="仿宋_GB2312"/>
          <w:color w:val="000000"/>
          <w:highlight w:val="none"/>
        </w:rPr>
        <w:br w:type="textWrapping"/>
      </w:r>
      <w:r>
        <w:rPr>
          <w:rFonts w:hint="eastAsia" w:ascii="仿宋_GB2312" w:hAnsi="仿宋_GB2312" w:eastAsia="仿宋_GB2312" w:cs="仿宋_GB2312"/>
          <w:color w:val="000000"/>
          <w:highlight w:val="none"/>
        </w:rPr>
        <w:t>　　</w:t>
      </w:r>
      <w:r>
        <w:rPr>
          <w:rFonts w:hint="eastAsia" w:ascii="黑体" w:hAnsi="黑体" w:eastAsia="黑体" w:cs="黑体"/>
          <w:color w:val="000000"/>
          <w:highlight w:val="none"/>
          <w:lang w:val="en-US" w:eastAsia="zh-CN"/>
        </w:rPr>
        <w:t>第十条</w:t>
      </w:r>
      <w:r>
        <w:rPr>
          <w:rFonts w:hint="eastAsia" w:ascii="仿宋_GB2312" w:hAnsi="仿宋_GB2312" w:eastAsia="仿宋_GB2312" w:cs="仿宋_GB2312"/>
          <w:color w:val="000000"/>
          <w:highlight w:val="none"/>
        </w:rPr>
        <w:t xml:space="preserve"> </w:t>
      </w:r>
      <w:r>
        <w:rPr>
          <w:rFonts w:hint="eastAsia" w:ascii="仿宋_GB2312" w:hAnsi="仿宋_GB2312" w:cs="仿宋_GB2312"/>
          <w:color w:val="000000"/>
          <w:highlight w:val="none"/>
          <w:lang w:val="en-US" w:eastAsia="zh-CN"/>
        </w:rPr>
        <w:t xml:space="preserve"> </w:t>
      </w:r>
      <w:r>
        <w:rPr>
          <w:rFonts w:hint="eastAsia" w:ascii="仿宋_GB2312" w:hAnsi="仿宋_GB2312" w:eastAsia="仿宋_GB2312" w:cs="仿宋_GB2312"/>
          <w:color w:val="000000"/>
          <w:highlight w:val="none"/>
        </w:rPr>
        <w:t>党政联席会议由</w:t>
      </w:r>
      <w:r>
        <w:rPr>
          <w:rFonts w:hint="eastAsia" w:ascii="仿宋_GB2312" w:hAnsi="仿宋_GB2312" w:eastAsia="仿宋_GB2312" w:cs="仿宋_GB2312"/>
          <w:color w:val="000000"/>
          <w:highlight w:val="none"/>
          <w:lang w:val="en-US" w:eastAsia="zh-CN"/>
        </w:rPr>
        <w:t>系（部）</w:t>
      </w:r>
      <w:r>
        <w:rPr>
          <w:rFonts w:hint="eastAsia" w:ascii="仿宋_GB2312" w:hAnsi="仿宋_GB2312" w:eastAsia="仿宋_GB2312" w:cs="仿宋_GB2312"/>
          <w:color w:val="000000"/>
          <w:highlight w:val="none"/>
        </w:rPr>
        <w:t>党政负责人共同召集，根据议题内容或工作需要，分别由</w:t>
      </w:r>
      <w:r>
        <w:rPr>
          <w:rFonts w:hint="eastAsia" w:ascii="仿宋_GB2312" w:hAnsi="仿宋_GB2312" w:eastAsia="仿宋_GB2312" w:cs="仿宋_GB2312"/>
          <w:color w:val="000000"/>
          <w:highlight w:val="none"/>
          <w:lang w:val="en-US" w:eastAsia="zh-CN"/>
        </w:rPr>
        <w:t>系（部）</w:t>
      </w:r>
      <w:r>
        <w:rPr>
          <w:rFonts w:hint="eastAsia" w:ascii="仿宋_GB2312" w:hAnsi="仿宋_GB2312" w:eastAsia="仿宋_GB2312" w:cs="仿宋_GB2312"/>
          <w:color w:val="000000"/>
          <w:highlight w:val="none"/>
        </w:rPr>
        <w:t>主任主持或党总支书记主持。凡属系、部发展的重大问题，党政主要负责人必须充分沟通酝酿，取得共识后再提交党政联席会议讨论决定。</w:t>
      </w:r>
      <w:r>
        <w:rPr>
          <w:rFonts w:hint="eastAsia" w:ascii="仿宋_GB2312" w:hAnsi="仿宋_GB2312" w:eastAsia="仿宋_GB2312" w:cs="仿宋_GB2312"/>
          <w:color w:val="000000"/>
          <w:highlight w:val="none"/>
        </w:rPr>
        <w:br w:type="textWrapping"/>
      </w:r>
      <w:r>
        <w:rPr>
          <w:rFonts w:hint="eastAsia" w:ascii="仿宋_GB2312" w:hAnsi="仿宋_GB2312" w:eastAsia="仿宋_GB2312" w:cs="仿宋_GB2312"/>
          <w:color w:val="000000"/>
          <w:highlight w:val="none"/>
        </w:rPr>
        <w:t>　　</w:t>
      </w:r>
      <w:r>
        <w:rPr>
          <w:rFonts w:hint="eastAsia" w:ascii="黑体" w:hAnsi="黑体" w:eastAsia="黑体" w:cs="黑体"/>
          <w:color w:val="000000"/>
          <w:highlight w:val="none"/>
          <w:lang w:val="en-US" w:eastAsia="zh-CN"/>
        </w:rPr>
        <w:t xml:space="preserve">第十一条 </w:t>
      </w:r>
      <w:r>
        <w:rPr>
          <w:rFonts w:hint="eastAsia" w:ascii="仿宋_GB2312" w:hAnsi="仿宋_GB2312" w:eastAsia="仿宋_GB2312" w:cs="仿宋_GB2312"/>
          <w:color w:val="000000"/>
          <w:highlight w:val="none"/>
        </w:rPr>
        <w:t xml:space="preserve"> 党政联席会议一般应在全体参会成员到会时方能召开。出席会议的成员若少于应参会成员的三分之二，会议应改期进行。因故不能出席会议的，需向</w:t>
      </w:r>
      <w:r>
        <w:rPr>
          <w:rFonts w:hint="eastAsia" w:ascii="仿宋_GB2312" w:hAnsi="仿宋_GB2312" w:eastAsia="仿宋_GB2312" w:cs="仿宋_GB2312"/>
          <w:color w:val="000000"/>
          <w:highlight w:val="none"/>
          <w:lang w:val="en-US" w:eastAsia="zh-CN"/>
        </w:rPr>
        <w:t>系（部）</w:t>
      </w:r>
      <w:r>
        <w:rPr>
          <w:rFonts w:hint="eastAsia" w:ascii="仿宋_GB2312" w:hAnsi="仿宋_GB2312" w:eastAsia="仿宋_GB2312" w:cs="仿宋_GB2312"/>
          <w:color w:val="000000"/>
          <w:highlight w:val="none"/>
        </w:rPr>
        <w:t>党政主要负责人请假。不能出席会议的成员，对会议议题有意见和建议，可在会前提出。</w:t>
      </w:r>
      <w:r>
        <w:rPr>
          <w:rFonts w:hint="eastAsia" w:ascii="仿宋_GB2312" w:hAnsi="仿宋_GB2312" w:eastAsia="仿宋_GB2312" w:cs="仿宋_GB2312"/>
          <w:color w:val="000000"/>
          <w:highlight w:val="none"/>
        </w:rPr>
        <w:br w:type="textWrapping"/>
      </w:r>
      <w:r>
        <w:rPr>
          <w:rFonts w:hint="eastAsia" w:ascii="仿宋_GB2312" w:hAnsi="仿宋_GB2312" w:eastAsia="仿宋_GB2312" w:cs="仿宋_GB2312"/>
          <w:color w:val="000000"/>
          <w:highlight w:val="none"/>
        </w:rPr>
        <w:t>　　</w:t>
      </w:r>
      <w:r>
        <w:rPr>
          <w:rFonts w:hint="eastAsia" w:ascii="黑体" w:hAnsi="黑体" w:eastAsia="黑体" w:cs="黑体"/>
          <w:color w:val="000000"/>
          <w:highlight w:val="none"/>
          <w:lang w:val="en-US" w:eastAsia="zh-CN"/>
        </w:rPr>
        <w:t xml:space="preserve">第十二条 </w:t>
      </w:r>
      <w:r>
        <w:rPr>
          <w:rFonts w:hint="eastAsia" w:ascii="仿宋_GB2312" w:hAnsi="仿宋_GB2312" w:eastAsia="仿宋_GB2312" w:cs="仿宋_GB2312"/>
          <w:color w:val="000000"/>
          <w:highlight w:val="none"/>
        </w:rPr>
        <w:t xml:space="preserve"> 会前要做好会议准备工作。除特殊情况外，党政联席会议的议题和有关材料要提前送达与会人员，以便做好议事准备。凡提交会议的议题，应事前准备汇报要点、需要讨论决定的事项以及解决问题的建议或方案。</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r>
        <w:rPr>
          <w:rFonts w:hint="eastAsia" w:ascii="黑体" w:hAnsi="黑体" w:eastAsia="黑体" w:cs="黑体"/>
          <w:color w:val="000000"/>
          <w:highlight w:val="none"/>
          <w:lang w:val="en-US" w:eastAsia="zh-CN"/>
        </w:rPr>
        <w:t xml:space="preserve">第十三条 </w:t>
      </w:r>
      <w:r>
        <w:rPr>
          <w:rFonts w:hint="eastAsia" w:ascii="仿宋_GB2312" w:hAnsi="仿宋_GB2312" w:eastAsia="仿宋_GB2312" w:cs="仿宋_GB2312"/>
          <w:color w:val="000000"/>
          <w:highlight w:val="none"/>
        </w:rPr>
        <w:t xml:space="preserve"> 对提交的党政联席会议讨论的议题由提出议题成员作简要说明，参会成员要逐项研究、充分讨论、发表意见，然后按照少数服从多数的原则，经应出席会议的成员半数以上赞成为通过。</w:t>
      </w:r>
      <w:r>
        <w:rPr>
          <w:rFonts w:hint="eastAsia" w:ascii="仿宋_GB2312" w:hAnsi="仿宋_GB2312" w:eastAsia="仿宋_GB2312" w:cs="仿宋_GB2312"/>
          <w:color w:val="000000"/>
          <w:highlight w:val="none"/>
        </w:rPr>
        <w:br w:type="textWrapping"/>
      </w:r>
      <w:r>
        <w:rPr>
          <w:rFonts w:hint="eastAsia" w:ascii="仿宋_GB2312" w:hAnsi="仿宋_GB2312" w:eastAsia="仿宋_GB2312" w:cs="仿宋_GB2312"/>
          <w:color w:val="000000"/>
          <w:highlight w:val="none"/>
        </w:rPr>
        <w:t>　　</w:t>
      </w:r>
      <w:r>
        <w:rPr>
          <w:rFonts w:hint="eastAsia" w:ascii="黑体" w:hAnsi="黑体" w:eastAsia="黑体" w:cs="黑体"/>
          <w:color w:val="000000"/>
          <w:highlight w:val="none"/>
          <w:lang w:val="en-US" w:eastAsia="zh-CN"/>
        </w:rPr>
        <w:t>第十四条</w:t>
      </w:r>
      <w:r>
        <w:rPr>
          <w:rFonts w:hint="eastAsia" w:ascii="仿宋_GB2312" w:hAnsi="仿宋_GB2312" w:eastAsia="仿宋_GB2312" w:cs="仿宋_GB2312"/>
          <w:color w:val="000000"/>
          <w:highlight w:val="none"/>
        </w:rPr>
        <w:t xml:space="preserve"> </w:t>
      </w:r>
      <w:r>
        <w:rPr>
          <w:rFonts w:hint="eastAsia" w:ascii="仿宋_GB2312" w:hAnsi="仿宋_GB2312" w:cs="仿宋_GB2312"/>
          <w:color w:val="000000"/>
          <w:highlight w:val="none"/>
          <w:lang w:val="en-US" w:eastAsia="zh-CN"/>
        </w:rPr>
        <w:t xml:space="preserve"> </w:t>
      </w:r>
      <w:r>
        <w:rPr>
          <w:rFonts w:hint="eastAsia" w:ascii="仿宋_GB2312" w:hAnsi="仿宋_GB2312" w:eastAsia="仿宋_GB2312" w:cs="仿宋_GB2312"/>
          <w:color w:val="000000"/>
          <w:highlight w:val="none"/>
        </w:rPr>
        <w:t>如果对讨论的议题存在较大分歧，则不宜匆忙</w:t>
      </w:r>
      <w:r>
        <w:rPr>
          <w:rFonts w:hint="eastAsia" w:ascii="仿宋_GB2312" w:hAnsi="仿宋_GB2312" w:eastAsia="仿宋_GB2312" w:cs="仿宋_GB2312"/>
          <w:color w:val="000000"/>
          <w:highlight w:val="none"/>
          <w:lang w:val="en-US" w:eastAsia="zh-CN"/>
        </w:rPr>
        <w:t>作</w:t>
      </w:r>
      <w:r>
        <w:rPr>
          <w:rFonts w:hint="eastAsia" w:ascii="仿宋_GB2312" w:hAnsi="仿宋_GB2312" w:eastAsia="仿宋_GB2312" w:cs="仿宋_GB2312"/>
          <w:color w:val="000000"/>
          <w:highlight w:val="none"/>
        </w:rPr>
        <w:t>出决定，待进一步调查研究、交换意见后，提交下次会议讨论。必要时可将争议情况向学校报告。</w:t>
      </w:r>
    </w:p>
    <w:p>
      <w:pPr>
        <w:keepNext w:val="0"/>
        <w:keepLines w:val="0"/>
        <w:pageBreakBefore w:val="0"/>
        <w:widowControl w:val="0"/>
        <w:kinsoku/>
        <w:wordWrap/>
        <w:overflowPunct/>
        <w:topLinePunct w:val="0"/>
        <w:autoSpaceDE/>
        <w:autoSpaceDN/>
        <w:bidi w:val="0"/>
        <w:adjustRightInd/>
        <w:snapToGrid/>
        <w:spacing w:before="300" w:beforeLines="50" w:after="300" w:afterLines="50" w:line="586" w:lineRule="exact"/>
        <w:jc w:val="center"/>
        <w:textAlignment w:val="auto"/>
        <w:rPr>
          <w:rFonts w:hint="eastAsia" w:ascii="黑体" w:hAnsi="黑体" w:eastAsia="黑体" w:cs="黑体"/>
          <w:color w:val="000000"/>
          <w:highlight w:val="none"/>
          <w:lang w:val="en-US" w:eastAsia="zh-CN"/>
        </w:rPr>
      </w:pPr>
      <w:bookmarkStart w:id="27" w:name="_Toc25662"/>
      <w:bookmarkStart w:id="28" w:name="_Toc31722"/>
      <w:bookmarkStart w:id="29" w:name="_Toc11027"/>
      <w:r>
        <w:rPr>
          <w:rFonts w:hint="eastAsia" w:ascii="黑体" w:hAnsi="黑体" w:eastAsia="黑体" w:cs="黑体"/>
          <w:color w:val="000000"/>
          <w:highlight w:val="none"/>
          <w:lang w:val="en-US" w:eastAsia="zh-CN"/>
        </w:rPr>
        <w:t>第四章  会议纪律</w:t>
      </w:r>
      <w:bookmarkEnd w:id="27"/>
      <w:bookmarkEnd w:id="28"/>
      <w:bookmarkEnd w:id="29"/>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r>
        <w:rPr>
          <w:rFonts w:hint="eastAsia" w:ascii="黑体" w:hAnsi="黑体" w:eastAsia="黑体" w:cs="黑体"/>
          <w:color w:val="000000"/>
          <w:highlight w:val="none"/>
          <w:lang w:val="en-US" w:eastAsia="zh-CN"/>
        </w:rPr>
        <w:t>第十五条</w:t>
      </w:r>
      <w:r>
        <w:rPr>
          <w:rFonts w:hint="eastAsia" w:ascii="仿宋_GB2312" w:hAnsi="仿宋_GB2312" w:cs="仿宋_GB2312"/>
          <w:color w:val="000000"/>
          <w:highlight w:val="none"/>
          <w:lang w:val="en-US" w:eastAsia="zh-CN"/>
        </w:rPr>
        <w:t xml:space="preserve"> </w:t>
      </w:r>
      <w:r>
        <w:rPr>
          <w:rFonts w:hint="eastAsia" w:ascii="仿宋_GB2312" w:hAnsi="仿宋_GB2312" w:eastAsia="仿宋_GB2312" w:cs="仿宋_GB2312"/>
          <w:color w:val="000000"/>
          <w:highlight w:val="none"/>
          <w:lang w:val="en-US" w:eastAsia="zh-CN"/>
        </w:rPr>
        <w:t xml:space="preserve"> </w:t>
      </w:r>
      <w:r>
        <w:rPr>
          <w:rFonts w:hint="eastAsia" w:ascii="仿宋_GB2312" w:hAnsi="仿宋_GB2312" w:eastAsia="仿宋_GB2312" w:cs="仿宋_GB2312"/>
          <w:color w:val="000000"/>
          <w:highlight w:val="none"/>
        </w:rPr>
        <w:t>应出席会议的人员因故不能参加会议，须在会前请假。讨论决定重大问题时，由会议主持人事先征求缺席人员的意见，会上主持人要说明其未到会原因，会后由会议主持人或由主持人委托其他与会人员向其通报情况。</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r>
        <w:rPr>
          <w:rFonts w:hint="eastAsia" w:ascii="黑体" w:hAnsi="黑体" w:eastAsia="黑体" w:cs="黑体"/>
          <w:color w:val="000000"/>
          <w:highlight w:val="none"/>
          <w:lang w:val="en-US" w:eastAsia="zh-CN"/>
        </w:rPr>
        <w:t>第十六条</w:t>
      </w:r>
      <w:r>
        <w:rPr>
          <w:rFonts w:hint="eastAsia" w:ascii="仿宋_GB2312" w:hAnsi="仿宋_GB2312" w:eastAsia="仿宋_GB2312" w:cs="仿宋_GB2312"/>
          <w:color w:val="000000"/>
          <w:highlight w:val="none"/>
        </w:rPr>
        <w:t xml:space="preserve"> </w:t>
      </w:r>
      <w:r>
        <w:rPr>
          <w:rFonts w:hint="eastAsia" w:ascii="仿宋_GB2312" w:hAnsi="仿宋_GB2312" w:cs="仿宋_GB2312"/>
          <w:color w:val="000000"/>
          <w:highlight w:val="none"/>
          <w:lang w:val="en-US" w:eastAsia="zh-CN"/>
        </w:rPr>
        <w:t xml:space="preserve"> </w:t>
      </w:r>
      <w:r>
        <w:rPr>
          <w:rFonts w:hint="eastAsia" w:ascii="仿宋_GB2312" w:hAnsi="仿宋_GB2312" w:eastAsia="仿宋_GB2312" w:cs="仿宋_GB2312"/>
          <w:color w:val="000000"/>
          <w:highlight w:val="none"/>
        </w:rPr>
        <w:t>参会人员必须以本单位发展的整体利益为重，坚持公正、公平、合理的原则，加强团结，相互协作，秉公办事，不徇私情。</w:t>
      </w:r>
      <w:r>
        <w:rPr>
          <w:rFonts w:hint="eastAsia" w:ascii="仿宋_GB2312" w:hAnsi="仿宋_GB2312" w:eastAsia="仿宋_GB2312" w:cs="仿宋_GB2312"/>
          <w:color w:val="000000"/>
          <w:highlight w:val="none"/>
        </w:rPr>
        <w:br w:type="textWrapping"/>
      </w:r>
      <w:r>
        <w:rPr>
          <w:rFonts w:hint="eastAsia" w:ascii="仿宋_GB2312" w:hAnsi="仿宋_GB2312" w:eastAsia="仿宋_GB2312" w:cs="仿宋_GB2312"/>
          <w:color w:val="000000"/>
          <w:highlight w:val="none"/>
        </w:rPr>
        <w:t>　　</w:t>
      </w:r>
      <w:r>
        <w:rPr>
          <w:rFonts w:hint="eastAsia" w:ascii="黑体" w:hAnsi="黑体" w:eastAsia="黑体" w:cs="黑体"/>
          <w:color w:val="000000"/>
          <w:highlight w:val="none"/>
          <w:lang w:val="en-US" w:eastAsia="zh-CN"/>
        </w:rPr>
        <w:t>第十七条</w:t>
      </w:r>
      <w:r>
        <w:rPr>
          <w:rFonts w:hint="eastAsia" w:ascii="仿宋_GB2312" w:hAnsi="仿宋_GB2312" w:eastAsia="仿宋_GB2312" w:cs="仿宋_GB2312"/>
          <w:color w:val="000000"/>
          <w:highlight w:val="none"/>
        </w:rPr>
        <w:t xml:space="preserve"> </w:t>
      </w:r>
      <w:r>
        <w:rPr>
          <w:rFonts w:hint="eastAsia" w:ascii="仿宋_GB2312" w:hAnsi="仿宋_GB2312" w:cs="仿宋_GB2312"/>
          <w:color w:val="000000"/>
          <w:highlight w:val="none"/>
          <w:lang w:val="en-US" w:eastAsia="zh-CN"/>
        </w:rPr>
        <w:t xml:space="preserve"> </w:t>
      </w:r>
      <w:r>
        <w:rPr>
          <w:rFonts w:hint="eastAsia" w:ascii="仿宋_GB2312" w:hAnsi="仿宋_GB2312" w:eastAsia="仿宋_GB2312" w:cs="仿宋_GB2312"/>
          <w:color w:val="000000"/>
          <w:highlight w:val="none"/>
        </w:rPr>
        <w:t>会议讨论中党政主要负责人不能首先表明态度，要在其他与会人员充分发表意见后再表述自己的观点，会上要充分讨论，发扬民主，尊重多数人的意见。</w:t>
      </w:r>
      <w:r>
        <w:rPr>
          <w:rFonts w:hint="eastAsia" w:ascii="仿宋_GB2312" w:hAnsi="仿宋_GB2312" w:eastAsia="仿宋_GB2312" w:cs="仿宋_GB2312"/>
          <w:color w:val="000000"/>
          <w:highlight w:val="none"/>
        </w:rPr>
        <w:br w:type="textWrapping"/>
      </w:r>
      <w:r>
        <w:rPr>
          <w:rFonts w:hint="eastAsia" w:ascii="仿宋_GB2312" w:hAnsi="仿宋_GB2312" w:eastAsia="仿宋_GB2312" w:cs="仿宋_GB2312"/>
          <w:color w:val="000000"/>
          <w:highlight w:val="none"/>
        </w:rPr>
        <w:t>　　</w:t>
      </w:r>
      <w:r>
        <w:rPr>
          <w:rFonts w:hint="eastAsia" w:ascii="黑体" w:hAnsi="黑体" w:eastAsia="黑体" w:cs="黑体"/>
          <w:color w:val="000000"/>
          <w:highlight w:val="none"/>
          <w:lang w:val="en-US" w:eastAsia="zh-CN"/>
        </w:rPr>
        <w:t>第十八条</w:t>
      </w:r>
      <w:r>
        <w:rPr>
          <w:rFonts w:hint="eastAsia" w:ascii="仿宋_GB2312" w:hAnsi="仿宋_GB2312" w:eastAsia="仿宋_GB2312" w:cs="仿宋_GB2312"/>
          <w:color w:val="000000"/>
          <w:highlight w:val="none"/>
        </w:rPr>
        <w:t xml:space="preserve"> </w:t>
      </w:r>
      <w:r>
        <w:rPr>
          <w:rFonts w:hint="eastAsia" w:ascii="仿宋_GB2312" w:hAnsi="仿宋_GB2312" w:cs="仿宋_GB2312"/>
          <w:color w:val="000000"/>
          <w:highlight w:val="none"/>
          <w:lang w:val="en-US" w:eastAsia="zh-CN"/>
        </w:rPr>
        <w:t xml:space="preserve"> </w:t>
      </w:r>
      <w:r>
        <w:rPr>
          <w:rFonts w:hint="eastAsia" w:ascii="仿宋_GB2312" w:hAnsi="仿宋_GB2312" w:eastAsia="仿宋_GB2312" w:cs="仿宋_GB2312"/>
          <w:color w:val="000000"/>
          <w:highlight w:val="none"/>
        </w:rPr>
        <w:t>参会人员对讨论议题如有不同意见允许保留，但必须服从党政联席会议的集体决定。与会人员应对党政联席会议需要保密的内容和决议、决定形成的过程必须严格保密，违者要追究责任。</w:t>
      </w:r>
      <w:r>
        <w:rPr>
          <w:rFonts w:hint="eastAsia" w:ascii="仿宋_GB2312" w:hAnsi="仿宋_GB2312" w:eastAsia="仿宋_GB2312" w:cs="仿宋_GB2312"/>
          <w:color w:val="000000"/>
          <w:highlight w:val="none"/>
        </w:rPr>
        <w:br w:type="textWrapping"/>
      </w:r>
      <w:r>
        <w:rPr>
          <w:rFonts w:hint="eastAsia" w:ascii="仿宋_GB2312" w:hAnsi="仿宋_GB2312" w:eastAsia="仿宋_GB2312" w:cs="仿宋_GB2312"/>
          <w:color w:val="000000"/>
          <w:highlight w:val="none"/>
        </w:rPr>
        <w:t>　　</w:t>
      </w:r>
      <w:r>
        <w:rPr>
          <w:rFonts w:hint="eastAsia" w:ascii="黑体" w:hAnsi="黑体" w:eastAsia="黑体" w:cs="黑体"/>
          <w:color w:val="000000"/>
          <w:highlight w:val="none"/>
          <w:lang w:val="en-US" w:eastAsia="zh-CN"/>
        </w:rPr>
        <w:t>第十九条</w:t>
      </w:r>
      <w:r>
        <w:rPr>
          <w:rFonts w:hint="eastAsia" w:ascii="仿宋_GB2312" w:hAnsi="仿宋_GB2312" w:eastAsia="仿宋_GB2312" w:cs="仿宋_GB2312"/>
          <w:color w:val="000000"/>
          <w:highlight w:val="none"/>
        </w:rPr>
        <w:t xml:space="preserve"> </w:t>
      </w:r>
      <w:r>
        <w:rPr>
          <w:rFonts w:hint="eastAsia" w:ascii="仿宋_GB2312" w:hAnsi="仿宋_GB2312" w:cs="仿宋_GB2312"/>
          <w:color w:val="000000"/>
          <w:highlight w:val="none"/>
          <w:lang w:val="en-US" w:eastAsia="zh-CN"/>
        </w:rPr>
        <w:t xml:space="preserve"> </w:t>
      </w:r>
      <w:r>
        <w:rPr>
          <w:rFonts w:hint="eastAsia" w:ascii="仿宋_GB2312" w:hAnsi="仿宋_GB2312" w:eastAsia="仿宋_GB2312" w:cs="仿宋_GB2312"/>
          <w:color w:val="000000"/>
          <w:highlight w:val="none"/>
        </w:rPr>
        <w:t>党政联席会议议事时，凡涉及本人及直系亲属的事项时，有关成员要主动回避，或由会议主持人告知其回避。</w:t>
      </w:r>
      <w:r>
        <w:rPr>
          <w:rFonts w:hint="eastAsia" w:ascii="仿宋_GB2312" w:hAnsi="仿宋_GB2312" w:eastAsia="仿宋_GB2312" w:cs="仿宋_GB2312"/>
          <w:color w:val="000000"/>
          <w:highlight w:val="none"/>
        </w:rPr>
        <w:br w:type="textWrapping"/>
      </w:r>
      <w:r>
        <w:rPr>
          <w:rFonts w:hint="eastAsia" w:ascii="仿宋_GB2312" w:hAnsi="仿宋_GB2312" w:eastAsia="仿宋_GB2312" w:cs="仿宋_GB2312"/>
          <w:color w:val="000000"/>
          <w:highlight w:val="none"/>
        </w:rPr>
        <w:t>　　</w:t>
      </w:r>
      <w:r>
        <w:rPr>
          <w:rFonts w:hint="eastAsia" w:ascii="黑体" w:hAnsi="黑体" w:eastAsia="黑体" w:cs="黑体"/>
          <w:color w:val="000000"/>
          <w:highlight w:val="none"/>
          <w:lang w:val="en-US" w:eastAsia="zh-CN"/>
        </w:rPr>
        <w:t>第二十条</w:t>
      </w:r>
      <w:r>
        <w:rPr>
          <w:rFonts w:hint="eastAsia" w:ascii="仿宋_GB2312" w:hAnsi="仿宋_GB2312" w:eastAsia="仿宋_GB2312" w:cs="仿宋_GB2312"/>
          <w:color w:val="000000"/>
          <w:highlight w:val="none"/>
        </w:rPr>
        <w:t xml:space="preserve"> </w:t>
      </w:r>
      <w:r>
        <w:rPr>
          <w:rFonts w:hint="eastAsia" w:ascii="仿宋_GB2312" w:hAnsi="仿宋_GB2312" w:cs="仿宋_GB2312"/>
          <w:color w:val="000000"/>
          <w:highlight w:val="none"/>
          <w:lang w:val="en-US" w:eastAsia="zh-CN"/>
        </w:rPr>
        <w:t xml:space="preserve"> </w:t>
      </w:r>
      <w:r>
        <w:rPr>
          <w:rFonts w:hint="eastAsia" w:ascii="仿宋_GB2312" w:hAnsi="仿宋_GB2312" w:eastAsia="仿宋_GB2312" w:cs="仿宋_GB2312"/>
          <w:color w:val="000000"/>
          <w:highlight w:val="none"/>
        </w:rPr>
        <w:t>按照学校的相关规定，实行党务、政务信息公开。党政联席会议决定的事项应以相应形式向系、部师生公开。</w:t>
      </w:r>
    </w:p>
    <w:p>
      <w:pPr>
        <w:keepNext w:val="0"/>
        <w:keepLines w:val="0"/>
        <w:pageBreakBefore w:val="0"/>
        <w:widowControl w:val="0"/>
        <w:kinsoku/>
        <w:wordWrap/>
        <w:overflowPunct/>
        <w:topLinePunct w:val="0"/>
        <w:autoSpaceDE/>
        <w:autoSpaceDN/>
        <w:bidi w:val="0"/>
        <w:adjustRightInd/>
        <w:snapToGrid/>
        <w:spacing w:before="300" w:beforeLines="50" w:after="300" w:afterLines="50" w:line="586" w:lineRule="exact"/>
        <w:jc w:val="center"/>
        <w:textAlignment w:val="auto"/>
        <w:rPr>
          <w:rFonts w:hint="eastAsia" w:ascii="黑体" w:hAnsi="黑体" w:eastAsia="黑体" w:cs="黑体"/>
          <w:color w:val="000000"/>
          <w:highlight w:val="none"/>
          <w:lang w:val="en-US" w:eastAsia="zh-CN"/>
        </w:rPr>
      </w:pPr>
      <w:bookmarkStart w:id="30" w:name="_Toc7830"/>
      <w:bookmarkStart w:id="31" w:name="_Toc12397"/>
      <w:bookmarkStart w:id="32" w:name="_Toc23646"/>
      <w:r>
        <w:rPr>
          <w:rFonts w:hint="eastAsia" w:ascii="黑体" w:hAnsi="黑体" w:eastAsia="黑体" w:cs="黑体"/>
          <w:color w:val="000000"/>
          <w:highlight w:val="none"/>
          <w:lang w:val="en-US" w:eastAsia="zh-CN"/>
        </w:rPr>
        <w:t>第五章  决定决议的执行与监督</w:t>
      </w:r>
      <w:bookmarkEnd w:id="30"/>
      <w:bookmarkEnd w:id="31"/>
      <w:bookmarkEnd w:id="32"/>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r>
        <w:rPr>
          <w:rFonts w:hint="eastAsia" w:ascii="黑体" w:hAnsi="黑体" w:eastAsia="黑体" w:cs="黑体"/>
          <w:color w:val="000000"/>
          <w:highlight w:val="none"/>
          <w:lang w:val="en-US" w:eastAsia="zh-CN"/>
        </w:rPr>
        <w:t>第二十一条</w:t>
      </w:r>
      <w:r>
        <w:rPr>
          <w:rFonts w:hint="eastAsia" w:ascii="仿宋_GB2312" w:hAnsi="仿宋_GB2312" w:eastAsia="仿宋_GB2312" w:cs="仿宋_GB2312"/>
          <w:color w:val="000000"/>
          <w:highlight w:val="none"/>
        </w:rPr>
        <w:t xml:space="preserve"> </w:t>
      </w:r>
      <w:r>
        <w:rPr>
          <w:rFonts w:hint="eastAsia" w:ascii="仿宋_GB2312" w:hAnsi="仿宋_GB2312" w:cs="仿宋_GB2312"/>
          <w:color w:val="000000"/>
          <w:highlight w:val="none"/>
          <w:lang w:val="en-US" w:eastAsia="zh-CN"/>
        </w:rPr>
        <w:t xml:space="preserve"> </w:t>
      </w:r>
      <w:r>
        <w:rPr>
          <w:rFonts w:hint="eastAsia" w:ascii="仿宋_GB2312" w:hAnsi="仿宋_GB2312" w:eastAsia="仿宋_GB2312" w:cs="仿宋_GB2312"/>
          <w:color w:val="000000"/>
          <w:highlight w:val="none"/>
        </w:rPr>
        <w:t>党政联席会议要有专人记录，会议记录要由党政主要负责人共同签字，并在系</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部</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存档。</w:t>
      </w:r>
      <w:r>
        <w:rPr>
          <w:rFonts w:hint="eastAsia" w:ascii="仿宋_GB2312" w:hAnsi="仿宋_GB2312" w:eastAsia="仿宋_GB2312" w:cs="仿宋_GB2312"/>
          <w:color w:val="000000"/>
          <w:highlight w:val="none"/>
        </w:rPr>
        <w:br w:type="textWrapping"/>
      </w:r>
      <w:r>
        <w:rPr>
          <w:rFonts w:hint="eastAsia" w:ascii="仿宋_GB2312" w:hAnsi="仿宋_GB2312" w:eastAsia="仿宋_GB2312" w:cs="仿宋_GB2312"/>
          <w:color w:val="000000"/>
          <w:highlight w:val="none"/>
        </w:rPr>
        <w:t>　　</w:t>
      </w:r>
      <w:r>
        <w:rPr>
          <w:rFonts w:hint="eastAsia" w:ascii="黑体" w:hAnsi="黑体" w:eastAsia="黑体" w:cs="黑体"/>
          <w:color w:val="000000"/>
          <w:highlight w:val="none"/>
          <w:lang w:val="en-US" w:eastAsia="zh-CN"/>
        </w:rPr>
        <w:t>第二十二条</w:t>
      </w:r>
      <w:r>
        <w:rPr>
          <w:rFonts w:hint="eastAsia" w:ascii="仿宋_GB2312" w:hAnsi="仿宋_GB2312" w:eastAsia="仿宋_GB2312" w:cs="仿宋_GB2312"/>
          <w:color w:val="000000"/>
          <w:highlight w:val="none"/>
        </w:rPr>
        <w:t xml:space="preserve"> </w:t>
      </w:r>
      <w:r>
        <w:rPr>
          <w:rFonts w:hint="eastAsia" w:ascii="仿宋_GB2312" w:hAnsi="仿宋_GB2312" w:cs="仿宋_GB2312"/>
          <w:color w:val="000000"/>
          <w:highlight w:val="none"/>
          <w:lang w:val="en-US" w:eastAsia="zh-CN"/>
        </w:rPr>
        <w:t xml:space="preserve"> </w:t>
      </w:r>
      <w:r>
        <w:rPr>
          <w:rFonts w:hint="eastAsia" w:ascii="仿宋_GB2312" w:hAnsi="仿宋_GB2312" w:eastAsia="仿宋_GB2312" w:cs="仿宋_GB2312"/>
          <w:color w:val="000000"/>
          <w:highlight w:val="none"/>
        </w:rPr>
        <w:t>对党政联席会议的决定或决议，全体会议人员应按照各自的分工认真组织落实，并将落实情况及时向党政主要负责人汇报。</w:t>
      </w:r>
      <w:r>
        <w:rPr>
          <w:rFonts w:hint="eastAsia" w:ascii="仿宋_GB2312" w:hAnsi="仿宋_GB2312" w:eastAsia="仿宋_GB2312" w:cs="仿宋_GB2312"/>
          <w:color w:val="000000"/>
          <w:highlight w:val="none"/>
        </w:rPr>
        <w:br w:type="textWrapping"/>
      </w:r>
      <w:r>
        <w:rPr>
          <w:rFonts w:hint="eastAsia" w:ascii="仿宋_GB2312" w:hAnsi="仿宋_GB2312" w:eastAsia="仿宋_GB2312" w:cs="仿宋_GB2312"/>
          <w:color w:val="000000"/>
          <w:highlight w:val="none"/>
        </w:rPr>
        <w:t>　　</w:t>
      </w:r>
      <w:r>
        <w:rPr>
          <w:rFonts w:hint="eastAsia" w:ascii="黑体" w:hAnsi="黑体" w:eastAsia="黑体" w:cs="黑体"/>
          <w:color w:val="000000"/>
          <w:highlight w:val="none"/>
          <w:lang w:val="en-US" w:eastAsia="zh-CN"/>
        </w:rPr>
        <w:t xml:space="preserve">第二十三条  </w:t>
      </w:r>
      <w:r>
        <w:rPr>
          <w:rFonts w:hint="eastAsia" w:ascii="仿宋_GB2312" w:hAnsi="仿宋_GB2312" w:eastAsia="仿宋_GB2312" w:cs="仿宋_GB2312"/>
          <w:color w:val="000000"/>
          <w:highlight w:val="none"/>
        </w:rPr>
        <w:t>党政联席会议与会人员在具体执行党政联席会议的决定或决议的过程中，均不得擅自改变决定或决议的精神。如确需变更决定或决议，或急需</w:t>
      </w:r>
      <w:r>
        <w:rPr>
          <w:rFonts w:hint="eastAsia" w:ascii="仿宋_GB2312" w:hAnsi="仿宋_GB2312" w:eastAsia="仿宋_GB2312" w:cs="仿宋_GB2312"/>
          <w:color w:val="000000"/>
          <w:highlight w:val="none"/>
          <w:lang w:val="en-US" w:eastAsia="zh-CN"/>
        </w:rPr>
        <w:t>作</w:t>
      </w:r>
      <w:r>
        <w:rPr>
          <w:rFonts w:hint="eastAsia" w:ascii="仿宋_GB2312" w:hAnsi="仿宋_GB2312" w:eastAsia="仿宋_GB2312" w:cs="仿宋_GB2312"/>
          <w:color w:val="000000"/>
          <w:highlight w:val="none"/>
        </w:rPr>
        <w:t>出新的决定的，应及时召开党政联席会议予以确认，并按规定的程序和要求讨论决定。</w:t>
      </w:r>
    </w:p>
    <w:p>
      <w:pPr>
        <w:keepNext w:val="0"/>
        <w:keepLines w:val="0"/>
        <w:pageBreakBefore w:val="0"/>
        <w:widowControl w:val="0"/>
        <w:kinsoku/>
        <w:wordWrap/>
        <w:overflowPunct/>
        <w:topLinePunct w:val="0"/>
        <w:autoSpaceDE/>
        <w:autoSpaceDN/>
        <w:bidi w:val="0"/>
        <w:adjustRightInd/>
        <w:snapToGrid/>
        <w:spacing w:before="300" w:beforeLines="50" w:after="300" w:afterLines="50" w:line="586" w:lineRule="exact"/>
        <w:jc w:val="center"/>
        <w:textAlignment w:val="auto"/>
        <w:rPr>
          <w:rFonts w:hint="eastAsia" w:ascii="黑体" w:hAnsi="黑体" w:eastAsia="黑体" w:cs="黑体"/>
          <w:color w:val="000000"/>
          <w:highlight w:val="none"/>
          <w:lang w:val="en-US" w:eastAsia="zh-CN"/>
        </w:rPr>
      </w:pPr>
      <w:bookmarkStart w:id="33" w:name="_Toc1676"/>
      <w:bookmarkStart w:id="34" w:name="_Toc4252"/>
      <w:bookmarkStart w:id="35" w:name="_Toc11750"/>
      <w:r>
        <w:rPr>
          <w:rFonts w:hint="eastAsia" w:ascii="黑体" w:hAnsi="黑体" w:eastAsia="黑体" w:cs="黑体"/>
          <w:color w:val="000000"/>
          <w:highlight w:val="none"/>
          <w:lang w:val="en-US" w:eastAsia="zh-CN"/>
        </w:rPr>
        <w:t>第六章  附则</w:t>
      </w:r>
      <w:bookmarkEnd w:id="33"/>
      <w:bookmarkEnd w:id="34"/>
      <w:bookmarkEnd w:id="35"/>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lang w:val="en-US" w:eastAsia="zh-CN"/>
        </w:rPr>
      </w:pPr>
      <w:r>
        <w:rPr>
          <w:rFonts w:hint="eastAsia" w:ascii="黑体" w:hAnsi="黑体" w:eastAsia="黑体" w:cs="黑体"/>
          <w:color w:val="000000"/>
          <w:highlight w:val="none"/>
          <w:lang w:val="en-US" w:eastAsia="zh-CN"/>
        </w:rPr>
        <w:t xml:space="preserve">第二十四条  </w:t>
      </w:r>
      <w:r>
        <w:rPr>
          <w:rFonts w:hint="eastAsia" w:ascii="仿宋_GB2312" w:hAnsi="仿宋_GB2312" w:eastAsia="仿宋_GB2312" w:cs="仿宋_GB2312"/>
          <w:color w:val="000000"/>
          <w:highlight w:val="none"/>
        </w:rPr>
        <w:t>党政联席会议制度是</w:t>
      </w:r>
      <w:r>
        <w:rPr>
          <w:rFonts w:hint="eastAsia" w:ascii="仿宋_GB2312" w:hAnsi="仿宋_GB2312" w:eastAsia="仿宋_GB2312" w:cs="仿宋_GB2312"/>
          <w:color w:val="000000"/>
          <w:highlight w:val="none"/>
          <w:lang w:val="en-US" w:eastAsia="zh-CN"/>
        </w:rPr>
        <w:t>系（部）</w:t>
      </w:r>
      <w:r>
        <w:rPr>
          <w:rFonts w:hint="eastAsia" w:ascii="仿宋_GB2312" w:hAnsi="仿宋_GB2312" w:eastAsia="仿宋_GB2312" w:cs="仿宋_GB2312"/>
          <w:color w:val="000000"/>
          <w:highlight w:val="none"/>
        </w:rPr>
        <w:t>研究、部署重要工作的决策形式，各</w:t>
      </w:r>
      <w:r>
        <w:rPr>
          <w:rFonts w:hint="eastAsia" w:ascii="仿宋_GB2312" w:hAnsi="仿宋_GB2312" w:eastAsia="仿宋_GB2312" w:cs="仿宋_GB2312"/>
          <w:color w:val="000000"/>
          <w:highlight w:val="none"/>
          <w:lang w:val="en-US" w:eastAsia="zh-CN"/>
        </w:rPr>
        <w:t>系（部）</w:t>
      </w:r>
      <w:r>
        <w:rPr>
          <w:rFonts w:hint="eastAsia" w:ascii="仿宋_GB2312" w:hAnsi="仿宋_GB2312" w:eastAsia="仿宋_GB2312" w:cs="仿宋_GB2312"/>
          <w:color w:val="000000"/>
          <w:highlight w:val="none"/>
        </w:rPr>
        <w:t>党政负责同志要从讲政治高度，严格遵守、认真落实党政联席会议制度的规定要求。</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r>
        <w:rPr>
          <w:rFonts w:hint="eastAsia" w:ascii="黑体" w:hAnsi="黑体" w:eastAsia="黑体" w:cs="黑体"/>
          <w:color w:val="000000"/>
          <w:highlight w:val="none"/>
          <w:lang w:val="en-US" w:eastAsia="zh-CN"/>
        </w:rPr>
        <w:t xml:space="preserve">第二十五条  </w:t>
      </w:r>
      <w:r>
        <w:rPr>
          <w:rFonts w:hint="eastAsia" w:ascii="仿宋_GB2312" w:hAnsi="仿宋_GB2312" w:eastAsia="仿宋_GB2312" w:cs="仿宋_GB2312"/>
          <w:color w:val="000000"/>
          <w:highlight w:val="none"/>
        </w:rPr>
        <w:t>本制度由学校党委</w:t>
      </w:r>
      <w:r>
        <w:rPr>
          <w:rFonts w:hint="eastAsia" w:ascii="仿宋_GB2312" w:hAnsi="仿宋_GB2312" w:eastAsia="仿宋_GB2312" w:cs="仿宋_GB2312"/>
          <w:color w:val="000000"/>
          <w:highlight w:val="none"/>
          <w:lang w:val="en-US" w:eastAsia="zh-CN"/>
        </w:rPr>
        <w:t>组织部</w:t>
      </w:r>
      <w:r>
        <w:rPr>
          <w:rFonts w:hint="eastAsia" w:ascii="仿宋_GB2312" w:hAnsi="仿宋_GB2312" w:eastAsia="仿宋_GB2312" w:cs="仿宋_GB2312"/>
          <w:color w:val="000000"/>
          <w:highlight w:val="none"/>
        </w:rPr>
        <w:t>负责解释。</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r>
        <w:rPr>
          <w:rFonts w:hint="eastAsia" w:ascii="黑体" w:hAnsi="黑体" w:eastAsia="黑体" w:cs="黑体"/>
          <w:color w:val="000000"/>
          <w:highlight w:val="none"/>
          <w:lang w:val="en-US" w:eastAsia="zh-CN"/>
        </w:rPr>
        <w:t xml:space="preserve">第二十六条  </w:t>
      </w:r>
      <w:r>
        <w:rPr>
          <w:rFonts w:hint="eastAsia" w:ascii="仿宋_GB2312" w:hAnsi="仿宋_GB2312" w:eastAsia="仿宋_GB2312" w:cs="仿宋_GB2312"/>
          <w:color w:val="000000"/>
          <w:highlight w:val="none"/>
        </w:rPr>
        <w:t>本制度自下发之日起执行。</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color w:val="000000"/>
          <w:sz w:val="44"/>
          <w:szCs w:val="44"/>
          <w:highlight w:val="none"/>
        </w:rPr>
      </w:pPr>
      <w:bookmarkStart w:id="36" w:name="_Toc17504"/>
      <w:r>
        <w:rPr>
          <w:rFonts w:hint="eastAsia" w:ascii="方正小标宋简体" w:hAnsi="方正小标宋简体" w:eastAsia="方正小标宋简体" w:cs="方正小标宋简体"/>
          <w:color w:val="000000"/>
          <w:sz w:val="44"/>
          <w:szCs w:val="44"/>
          <w:highlight w:val="none"/>
        </w:rPr>
        <w:t>基层党组织书记抓党建工作述职评议考核工作实施方案</w:t>
      </w:r>
      <w:bookmarkEnd w:id="36"/>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方正小标宋简体" w:hAnsi="方正小标宋简体" w:eastAsia="方正小标宋简体" w:cs="方正小标宋简体"/>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为全面落实党建工作责任制，促进基层党组织书记抓党建工作常态化、规范化、制度化，形成“大抓基层、严抓基层”的鲜明导向，进一步提升学校党建工作的科学化水平，推动学习型、服务型、创新型党组织建设各项目标落实，根据中共河南省委</w:t>
      </w:r>
      <w:r>
        <w:rPr>
          <w:rFonts w:hint="eastAsia" w:ascii="仿宋_GB2312" w:hAnsi="仿宋_GB2312" w:eastAsia="仿宋_GB2312" w:cs="仿宋_GB2312"/>
          <w:color w:val="000000"/>
          <w:highlight w:val="none"/>
          <w:lang w:eastAsia="zh-CN"/>
        </w:rPr>
        <w:t>教育</w:t>
      </w:r>
      <w:r>
        <w:rPr>
          <w:rFonts w:hint="eastAsia" w:ascii="仿宋_GB2312" w:hAnsi="仿宋_GB2312" w:eastAsia="仿宋_GB2312" w:cs="仿宋_GB2312"/>
          <w:color w:val="000000"/>
          <w:highlight w:val="none"/>
        </w:rPr>
        <w:t>工委关于河南省高校党委书记抓基层党建工作述职评议考核工作</w:t>
      </w:r>
      <w:r>
        <w:rPr>
          <w:rFonts w:hint="eastAsia" w:ascii="仿宋_GB2312" w:hAnsi="仿宋_GB2312" w:eastAsia="仿宋_GB2312" w:cs="仿宋_GB2312"/>
          <w:color w:val="000000"/>
          <w:highlight w:val="none"/>
          <w:lang w:eastAsia="zh-CN"/>
        </w:rPr>
        <w:t>文件</w:t>
      </w:r>
      <w:r>
        <w:rPr>
          <w:rFonts w:hint="eastAsia" w:ascii="仿宋_GB2312" w:hAnsi="仿宋_GB2312" w:eastAsia="仿宋_GB2312" w:cs="仿宋_GB2312"/>
          <w:color w:val="000000"/>
          <w:highlight w:val="none"/>
        </w:rPr>
        <w:t>精神，学校党委每年组织开展全校基层党组织书记抓党建工作述职评议考核工作。结合学校工作实际，特制定实施方案如下：</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黑体" w:hAnsi="黑体" w:eastAsia="黑体" w:cs="黑体"/>
          <w:color w:val="000000"/>
          <w:highlight w:val="none"/>
        </w:rPr>
      </w:pPr>
      <w:r>
        <w:rPr>
          <w:rFonts w:hint="eastAsia" w:ascii="黑体" w:hAnsi="黑体" w:eastAsia="黑体" w:cs="黑体"/>
          <w:color w:val="000000"/>
          <w:highlight w:val="none"/>
        </w:rPr>
        <w:t>一、考核对象</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各基层党总支书记、党支部书记</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黑体" w:hAnsi="黑体" w:eastAsia="黑体" w:cs="黑体"/>
          <w:color w:val="000000"/>
          <w:highlight w:val="none"/>
        </w:rPr>
      </w:pPr>
      <w:r>
        <w:rPr>
          <w:rFonts w:hint="eastAsia" w:ascii="黑体" w:hAnsi="黑体" w:eastAsia="黑体" w:cs="黑体"/>
          <w:color w:val="000000"/>
          <w:highlight w:val="none"/>
        </w:rPr>
        <w:t>二、考核内容</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基层党总支书记、党支部书记抓党建工作述职评议考核，重点围绕落实进一步加强基层党组织建设各项任务和</w:t>
      </w:r>
      <w:r>
        <w:rPr>
          <w:rFonts w:hint="eastAsia" w:ascii="仿宋_GB2312" w:hAnsi="仿宋_GB2312" w:eastAsia="仿宋_GB2312" w:cs="仿宋_GB2312"/>
          <w:color w:val="000000"/>
          <w:highlight w:val="none"/>
          <w:lang w:eastAsia="zh-CN"/>
        </w:rPr>
        <w:t>落实立德树人根本</w:t>
      </w:r>
      <w:r>
        <w:rPr>
          <w:rFonts w:hint="eastAsia" w:ascii="仿宋_GB2312" w:hAnsi="仿宋_GB2312" w:eastAsia="仿宋_GB2312" w:cs="仿宋_GB2312"/>
          <w:color w:val="000000"/>
          <w:highlight w:val="none"/>
        </w:rPr>
        <w:t>要求进行，突出问题导向。主要从以下几个方面进行述职：</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1.履行第一责任人职责情况。重点是认真贯彻学校党委要求，研究部署本单位党建工作情况；加强领导班子和干部队伍建设情况；党风廉政建设责任制落实情况；协调解决重点、难点问题情况。</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2.加强基层党组织建设情况。重点是抓好基层党支部建设，实现“有形”覆盖和“有效”覆盖的统一情况；选好配强党支部书记，加强基层党务干部队伍建设情况；落实好党政联席会议制度，发挥政治核心作用情况。</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3.开展基层党组织活动情况。重点是深入开展学习型、服务型、创新型党组织创建活动，服务教学科研、服务师生、服务党员情况；创新党支部活动方式，探索立体化、互动式、信息化工作平台，增强党支部活动的吸引力感召力，发挥党支部的战斗堡垒作用情况；坚持问题导向和效果导向，以实施党建工作创新项目为抓手，有效提升党建工作水平情况。</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4.严格党员教育管理情况。重点是推动落实党内生活制度化常态化，有效开展“三会一课”、民主评议、党员党性定期分析等党内生活，发挥党员先锋模范作用情况；加强党性教育，解决党员特别是大学生党员思想入党问题情况；做好党员和干部的教育培训，在优秀青年教师、大学生中发展党员工作情况。</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5.进一步落实管党主体责任，加强基层党组织建设的思路、措施和配套制度等。</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黑体" w:hAnsi="黑体" w:eastAsia="黑体" w:cs="黑体"/>
          <w:color w:val="000000"/>
          <w:highlight w:val="none"/>
        </w:rPr>
      </w:pPr>
      <w:r>
        <w:rPr>
          <w:rFonts w:hint="eastAsia" w:ascii="黑体" w:hAnsi="黑体" w:eastAsia="黑体" w:cs="黑体"/>
          <w:color w:val="000000"/>
          <w:highlight w:val="none"/>
        </w:rPr>
        <w:t>三、方法步骤</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1.述前准备工作。基层党总支书记、党支部书记要全面总结</w:t>
      </w:r>
      <w:r>
        <w:rPr>
          <w:rFonts w:hint="eastAsia" w:ascii="仿宋_GB2312" w:hAnsi="仿宋_GB2312" w:eastAsia="仿宋_GB2312" w:cs="仿宋_GB2312"/>
          <w:color w:val="000000"/>
          <w:highlight w:val="none"/>
          <w:lang w:eastAsia="zh-CN"/>
        </w:rPr>
        <w:t>本组织</w:t>
      </w:r>
      <w:r>
        <w:rPr>
          <w:rFonts w:hint="eastAsia" w:ascii="仿宋_GB2312" w:hAnsi="仿宋_GB2312" w:eastAsia="仿宋_GB2312" w:cs="仿宋_GB2312"/>
          <w:color w:val="000000"/>
          <w:highlight w:val="none"/>
        </w:rPr>
        <w:t>抓基层党建工作的情况，认真梳理分析，广泛听取意见，在此基础上撰写3000字左右的述职报告，实事求是总结成绩、查找问题、明确努力方向。述职报告既要讲党建工作情况、更要讲个人履职情况，注重用事实、实例、数字说话，杜绝只讲成绩、不讲问题。述职报告要在一定范围内进行公示，接受党员群众监督。</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2.述职评议工作。学校党委组织召开基层党总支书记抓党建工作年度述职评议会议。参会人员有：校领导，党群部门负责人，各基层党总支书记，基层党员干部、师生代表等。基层党总支书记逐一述职，每位时间不超过10分钟。述职人员发言结束后，参会人员对需要进一步了解的问题，可现场提问，述职人员应负责任地如实回答。党委书记结合平时掌握的情况作简要点评，重点指出值得肯定的经验做法、存在的突出问题和今后的努力方向。</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3.会议测评工作。在述职评议考核会上组织参会人员对每位述职人员的述职情况填写评议测评票（附后），按照好、较好、一般、较差四个档次进行评议，并按照校领导和党群部门负责人、基层党总支书记和基层代表三个层面分类统计，测评结果在会后向各基层党总支通报。</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4.评议考核结果运用。把基层党建工作情况作为评价基层党总支领导班子和书记政治上强不强、实绩好不好、作风正不正、工作称职不称职的重要标准，述职评议考核结果作为干部年度考核和</w:t>
      </w:r>
      <w:r>
        <w:rPr>
          <w:rFonts w:hint="eastAsia" w:ascii="仿宋_GB2312" w:hAnsi="仿宋_GB2312" w:eastAsia="仿宋_GB2312" w:cs="仿宋_GB2312"/>
          <w:color w:val="000000"/>
          <w:highlight w:val="none"/>
          <w:lang w:val="en-US" w:eastAsia="zh-CN"/>
        </w:rPr>
        <w:t>选拔</w:t>
      </w:r>
      <w:r>
        <w:rPr>
          <w:rFonts w:hint="eastAsia" w:ascii="仿宋_GB2312" w:hAnsi="仿宋_GB2312" w:eastAsia="仿宋_GB2312" w:cs="仿宋_GB2312"/>
          <w:color w:val="000000"/>
          <w:highlight w:val="none"/>
        </w:rPr>
        <w:t>任用干部的重要依据。同时，基层党组织书记抓党建工作述职评议工作将与</w:t>
      </w:r>
      <w:r>
        <w:rPr>
          <w:rFonts w:hint="eastAsia" w:ascii="仿宋_GB2312" w:hAnsi="仿宋_GB2312" w:eastAsia="仿宋_GB2312" w:cs="仿宋_GB2312"/>
          <w:color w:val="000000"/>
          <w:highlight w:val="none"/>
          <w:lang w:eastAsia="zh-CN"/>
        </w:rPr>
        <w:t>学校目标责任书考核</w:t>
      </w:r>
      <w:r>
        <w:rPr>
          <w:rFonts w:hint="eastAsia" w:ascii="仿宋_GB2312" w:hAnsi="仿宋_GB2312" w:eastAsia="仿宋_GB2312" w:cs="仿宋_GB2312"/>
          <w:color w:val="000000"/>
          <w:highlight w:val="none"/>
        </w:rPr>
        <w:t>相结合，考评结果作为每年七一表彰的重要依据。</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5.推进整改落实。述职评议考核工作结束后，各基层党总支书记要针对存在的问题，认真制定整改方案，建立整改台账，将整改措施列入下一年度基层党建工作计划抓好落实，并把整改落实情况作为下一年度基层党总支书记述职的重要内容。</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黑体" w:hAnsi="黑体" w:eastAsia="黑体" w:cs="黑体"/>
          <w:color w:val="000000"/>
          <w:highlight w:val="none"/>
        </w:rPr>
      </w:pPr>
      <w:r>
        <w:rPr>
          <w:rFonts w:hint="eastAsia" w:ascii="黑体" w:hAnsi="黑体" w:eastAsia="黑体" w:cs="黑体"/>
          <w:color w:val="000000"/>
          <w:highlight w:val="none"/>
        </w:rPr>
        <w:t>四、工作要求</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1.提高认识。各基层党总支书记要充分认识到开展基层党组织书记抓党建工作述职评议工作的重要性，进一步强化主业意识，认真履行抓党建工作第一责任人的职责，切实把管党治党的责任担负起来，把基层党建工作抓到位、做扎实、出成效，推动学校基层党建工作再上新台阶。</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2.结合工作实际。开展基层党组织书记抓党建工作年度述职评议，根本目的在于通过述职找问题、通过评议促工作。各基层党总支</w:t>
      </w:r>
      <w:r>
        <w:rPr>
          <w:rFonts w:hint="eastAsia" w:ascii="仿宋_GB2312" w:hAnsi="仿宋_GB2312" w:eastAsia="仿宋_GB2312" w:cs="仿宋_GB2312"/>
          <w:color w:val="000000"/>
          <w:highlight w:val="none"/>
          <w:lang w:eastAsia="zh-CN"/>
        </w:rPr>
        <w:t>要</w:t>
      </w:r>
      <w:r>
        <w:rPr>
          <w:rFonts w:hint="eastAsia" w:ascii="仿宋_GB2312" w:hAnsi="仿宋_GB2312" w:eastAsia="仿宋_GB2312" w:cs="仿宋_GB2312"/>
          <w:color w:val="000000"/>
          <w:highlight w:val="none"/>
        </w:rPr>
        <w:t>进一步强化问题导向，结合实施党建工作创新项目，认真查找本部门党建工作中存在的薄弱环节和突出问题，分清轻重缓急，逐项整改提升，切实推动党建工作的规范化、制度化、科学化建设。</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3.各党总支对所属党支部书记的考核工作参照本办法实施。</w:t>
      </w:r>
    </w:p>
    <w:p>
      <w:pPr>
        <w:snapToGrid w:val="0"/>
        <w:ind w:firstLine="196" w:firstLineChars="62"/>
        <w:rPr>
          <w:rFonts w:hint="eastAsia" w:ascii="黑体" w:hAnsi="黑体" w:eastAsia="黑体"/>
          <w:color w:val="000000"/>
          <w:highlight w:val="none"/>
        </w:rPr>
      </w:pP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val="en-US" w:eastAsia="zh-CN"/>
        </w:rPr>
        <w:t>附件：</w:t>
      </w:r>
      <w:r>
        <w:rPr>
          <w:rFonts w:hint="eastAsia" w:ascii="仿宋_GB2312" w:hAnsi="仿宋_GB2312" w:eastAsia="仿宋_GB2312" w:cs="仿宋_GB2312"/>
          <w:color w:val="000000"/>
          <w:highlight w:val="none"/>
        </w:rPr>
        <w:t>基层党</w:t>
      </w:r>
      <w:r>
        <w:rPr>
          <w:rFonts w:hint="eastAsia" w:ascii="仿宋_GB2312" w:hAnsi="仿宋_GB2312" w:eastAsia="仿宋_GB2312" w:cs="仿宋_GB2312"/>
          <w:color w:val="000000"/>
          <w:highlight w:val="none"/>
          <w:lang w:eastAsia="zh-CN"/>
        </w:rPr>
        <w:t>组织</w:t>
      </w:r>
      <w:r>
        <w:rPr>
          <w:rFonts w:hint="eastAsia" w:ascii="仿宋_GB2312" w:hAnsi="仿宋_GB2312" w:eastAsia="仿宋_GB2312" w:cs="仿宋_GB2312"/>
          <w:color w:val="000000"/>
          <w:highlight w:val="none"/>
        </w:rPr>
        <w:t>书记抓党建工作述职评议测评表</w:t>
      </w:r>
    </w:p>
    <w:p>
      <w:pPr>
        <w:snapToGrid w:val="0"/>
        <w:ind w:firstLine="196" w:firstLineChars="62"/>
        <w:rPr>
          <w:rFonts w:hint="eastAsia" w:ascii="黑体" w:hAnsi="黑体" w:eastAsia="黑体"/>
          <w:color w:val="000000"/>
          <w:highlight w:val="none"/>
          <w:lang w:val="en-US" w:eastAsia="zh-CN"/>
        </w:rPr>
      </w:pPr>
    </w:p>
    <w:p>
      <w:pPr>
        <w:snapToGrid w:val="0"/>
        <w:ind w:firstLine="196" w:firstLineChars="62"/>
        <w:rPr>
          <w:rFonts w:hint="eastAsia" w:ascii="黑体" w:hAnsi="黑体" w:eastAsia="黑体"/>
          <w:color w:val="000000"/>
          <w:highlight w:val="none"/>
        </w:rPr>
      </w:pPr>
    </w:p>
    <w:p>
      <w:pPr>
        <w:snapToGrid w:val="0"/>
        <w:ind w:left="0" w:leftChars="0" w:firstLine="0" w:firstLineChars="0"/>
        <w:rPr>
          <w:rFonts w:hint="eastAsia" w:ascii="黑体" w:hAnsi="黑体" w:eastAsia="黑体"/>
          <w:color w:val="000000"/>
          <w:highlight w:val="none"/>
        </w:rPr>
      </w:pPr>
    </w:p>
    <w:p>
      <w:pPr>
        <w:snapToGrid w:val="0"/>
        <w:ind w:left="0" w:leftChars="0" w:firstLine="0" w:firstLineChars="0"/>
        <w:rPr>
          <w:rFonts w:hint="eastAsia" w:ascii="黑体" w:hAnsi="黑体" w:eastAsia="黑体"/>
          <w:color w:val="000000"/>
          <w:highlight w:val="none"/>
        </w:rPr>
      </w:pPr>
    </w:p>
    <w:p>
      <w:pPr>
        <w:snapToGrid w:val="0"/>
        <w:ind w:left="0" w:leftChars="0" w:firstLine="0" w:firstLineChars="0"/>
        <w:rPr>
          <w:rFonts w:hint="eastAsia" w:ascii="黑体" w:hAnsi="黑体" w:eastAsia="黑体"/>
          <w:color w:val="000000"/>
          <w:highlight w:val="none"/>
        </w:rPr>
      </w:pPr>
    </w:p>
    <w:p>
      <w:pPr>
        <w:snapToGrid w:val="0"/>
        <w:ind w:left="0" w:leftChars="0" w:firstLine="0" w:firstLineChars="0"/>
        <w:rPr>
          <w:rFonts w:hint="eastAsia" w:ascii="黑体" w:hAnsi="黑体" w:eastAsia="黑体"/>
          <w:color w:val="000000"/>
          <w:highlight w:val="none"/>
        </w:rPr>
      </w:pPr>
    </w:p>
    <w:p>
      <w:pPr>
        <w:snapToGrid w:val="0"/>
        <w:ind w:left="0" w:leftChars="0" w:firstLine="0" w:firstLineChars="0"/>
        <w:rPr>
          <w:rFonts w:hint="eastAsia" w:ascii="黑体" w:hAnsi="黑体" w:eastAsia="黑体"/>
          <w:color w:val="000000"/>
          <w:highlight w:val="none"/>
        </w:rPr>
      </w:pPr>
    </w:p>
    <w:p>
      <w:pPr>
        <w:snapToGrid w:val="0"/>
        <w:ind w:firstLine="196" w:firstLineChars="62"/>
        <w:rPr>
          <w:rFonts w:ascii="黑体" w:hAnsi="黑体" w:eastAsia="黑体"/>
          <w:color w:val="000000"/>
          <w:highlight w:val="none"/>
        </w:rPr>
      </w:pPr>
      <w:r>
        <w:rPr>
          <w:rFonts w:hint="eastAsia" w:ascii="黑体" w:hAnsi="黑体" w:eastAsia="黑体"/>
          <w:color w:val="000000"/>
          <w:highlight w:val="none"/>
        </w:rPr>
        <w:t>附</w:t>
      </w:r>
      <w:r>
        <w:rPr>
          <w:rFonts w:hint="eastAsia" w:ascii="黑体" w:hAnsi="黑体" w:eastAsia="黑体"/>
          <w:color w:val="000000"/>
          <w:highlight w:val="none"/>
          <w:lang w:val="en-US" w:eastAsia="zh-CN"/>
        </w:rPr>
        <w:t xml:space="preserve"> </w:t>
      </w:r>
      <w:r>
        <w:rPr>
          <w:rFonts w:hint="eastAsia" w:ascii="黑体" w:hAnsi="黑体" w:eastAsia="黑体"/>
          <w:color w:val="000000"/>
          <w:highlight w:val="none"/>
        </w:rPr>
        <w:t>件</w:t>
      </w:r>
    </w:p>
    <w:p>
      <w:pPr>
        <w:keepNext w:val="0"/>
        <w:keepLines w:val="0"/>
        <w:pageBreakBefore w:val="0"/>
        <w:widowControl w:val="0"/>
        <w:kinsoku/>
        <w:wordWrap/>
        <w:overflowPunct/>
        <w:topLinePunct w:val="0"/>
        <w:autoSpaceDE/>
        <w:autoSpaceDN/>
        <w:bidi w:val="0"/>
        <w:adjustRightInd/>
        <w:snapToGrid w:val="0"/>
        <w:spacing w:line="660" w:lineRule="exact"/>
        <w:ind w:left="0" w:leftChars="0" w:firstLine="0" w:firstLineChars="0"/>
        <w:jc w:val="center"/>
        <w:textAlignment w:val="auto"/>
        <w:rPr>
          <w:rFonts w:ascii="方正小标宋简体" w:hAnsi="华文中宋" w:eastAsia="方正小标宋简体"/>
          <w:color w:val="000000"/>
          <w:sz w:val="44"/>
          <w:szCs w:val="44"/>
          <w:highlight w:val="none"/>
        </w:rPr>
      </w:pPr>
      <w:r>
        <w:rPr>
          <w:rFonts w:hint="eastAsia" w:ascii="方正小标宋简体" w:hAnsi="华文中宋" w:eastAsia="方正小标宋简体"/>
          <w:color w:val="000000"/>
          <w:sz w:val="44"/>
          <w:szCs w:val="44"/>
          <w:highlight w:val="none"/>
        </w:rPr>
        <w:t>基层党</w:t>
      </w:r>
      <w:r>
        <w:rPr>
          <w:rFonts w:hint="eastAsia" w:ascii="方正小标宋简体" w:hAnsi="华文中宋" w:eastAsia="方正小标宋简体"/>
          <w:color w:val="000000"/>
          <w:sz w:val="44"/>
          <w:szCs w:val="44"/>
          <w:highlight w:val="none"/>
          <w:lang w:eastAsia="zh-CN"/>
        </w:rPr>
        <w:t>组织</w:t>
      </w:r>
      <w:r>
        <w:rPr>
          <w:rFonts w:hint="eastAsia" w:ascii="方正小标宋简体" w:hAnsi="华文中宋" w:eastAsia="方正小标宋简体"/>
          <w:color w:val="000000"/>
          <w:sz w:val="44"/>
          <w:szCs w:val="44"/>
          <w:highlight w:val="none"/>
        </w:rPr>
        <w:t>书记</w:t>
      </w:r>
    </w:p>
    <w:p>
      <w:pPr>
        <w:keepNext w:val="0"/>
        <w:keepLines w:val="0"/>
        <w:pageBreakBefore w:val="0"/>
        <w:widowControl w:val="0"/>
        <w:kinsoku/>
        <w:wordWrap/>
        <w:overflowPunct/>
        <w:topLinePunct w:val="0"/>
        <w:autoSpaceDE/>
        <w:autoSpaceDN/>
        <w:bidi w:val="0"/>
        <w:adjustRightInd/>
        <w:snapToGrid w:val="0"/>
        <w:spacing w:line="660" w:lineRule="exact"/>
        <w:ind w:left="0" w:leftChars="0" w:firstLine="0" w:firstLineChars="0"/>
        <w:jc w:val="center"/>
        <w:textAlignment w:val="auto"/>
        <w:rPr>
          <w:rFonts w:ascii="方正小标宋简体" w:hAnsi="华文中宋" w:eastAsia="方正小标宋简体"/>
          <w:color w:val="000000"/>
          <w:sz w:val="44"/>
          <w:szCs w:val="44"/>
          <w:highlight w:val="none"/>
        </w:rPr>
      </w:pPr>
      <w:r>
        <w:rPr>
          <w:rFonts w:hint="eastAsia" w:ascii="方正小标宋简体" w:hAnsi="华文中宋" w:eastAsia="方正小标宋简体"/>
          <w:color w:val="000000"/>
          <w:sz w:val="44"/>
          <w:szCs w:val="44"/>
          <w:highlight w:val="none"/>
        </w:rPr>
        <w:t>抓党建工作述职评议测评表</w:t>
      </w:r>
    </w:p>
    <w:tbl>
      <w:tblPr>
        <w:tblStyle w:val="5"/>
        <w:tblW w:w="87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8"/>
        <w:gridCol w:w="3458"/>
        <w:gridCol w:w="892"/>
        <w:gridCol w:w="892"/>
        <w:gridCol w:w="892"/>
        <w:gridCol w:w="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2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述职人</w:t>
            </w:r>
          </w:p>
        </w:tc>
        <w:tc>
          <w:tcPr>
            <w:tcW w:w="345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职  务</w:t>
            </w:r>
          </w:p>
        </w:tc>
        <w:tc>
          <w:tcPr>
            <w:tcW w:w="356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考核等次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2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hint="eastAsia" w:ascii="黑体" w:hAnsi="黑体" w:eastAsia="黑体" w:cs="黑体"/>
                <w:color w:val="000000"/>
                <w:sz w:val="28"/>
                <w:szCs w:val="28"/>
                <w:highlight w:val="none"/>
              </w:rPr>
            </w:pPr>
          </w:p>
        </w:tc>
        <w:tc>
          <w:tcPr>
            <w:tcW w:w="34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hint="eastAsia" w:ascii="黑体" w:hAnsi="黑体" w:eastAsia="黑体" w:cs="黑体"/>
                <w:color w:val="000000"/>
                <w:sz w:val="28"/>
                <w:szCs w:val="28"/>
                <w:highlight w:val="none"/>
              </w:rPr>
            </w:pPr>
          </w:p>
        </w:tc>
        <w:tc>
          <w:tcPr>
            <w:tcW w:w="8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好</w:t>
            </w:r>
          </w:p>
        </w:tc>
        <w:tc>
          <w:tcPr>
            <w:tcW w:w="8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较好</w:t>
            </w:r>
          </w:p>
        </w:tc>
        <w:tc>
          <w:tcPr>
            <w:tcW w:w="8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一般</w:t>
            </w:r>
          </w:p>
        </w:tc>
        <w:tc>
          <w:tcPr>
            <w:tcW w:w="8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较差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728" w:type="dxa"/>
            <w:noWrap w:val="0"/>
            <w:vAlign w:val="top"/>
          </w:tcPr>
          <w:p>
            <w:pPr>
              <w:ind w:firstLine="640"/>
              <w:jc w:val="center"/>
              <w:rPr>
                <w:rFonts w:ascii="仿宋_GB2312" w:hAnsi="仿宋"/>
                <w:color w:val="000000"/>
                <w:szCs w:val="21"/>
                <w:highlight w:val="none"/>
              </w:rPr>
            </w:pPr>
          </w:p>
        </w:tc>
        <w:tc>
          <w:tcPr>
            <w:tcW w:w="3458"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728" w:type="dxa"/>
            <w:noWrap w:val="0"/>
            <w:vAlign w:val="top"/>
          </w:tcPr>
          <w:p>
            <w:pPr>
              <w:ind w:firstLine="640"/>
              <w:jc w:val="center"/>
              <w:rPr>
                <w:rFonts w:ascii="仿宋_GB2312" w:hAnsi="仿宋"/>
                <w:color w:val="000000"/>
                <w:szCs w:val="21"/>
                <w:highlight w:val="none"/>
              </w:rPr>
            </w:pPr>
          </w:p>
        </w:tc>
        <w:tc>
          <w:tcPr>
            <w:tcW w:w="3458"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728" w:type="dxa"/>
            <w:noWrap w:val="0"/>
            <w:vAlign w:val="top"/>
          </w:tcPr>
          <w:p>
            <w:pPr>
              <w:ind w:firstLine="640"/>
              <w:jc w:val="center"/>
              <w:rPr>
                <w:rFonts w:ascii="仿宋_GB2312" w:hAnsi="仿宋"/>
                <w:color w:val="000000"/>
                <w:szCs w:val="21"/>
                <w:highlight w:val="none"/>
              </w:rPr>
            </w:pPr>
          </w:p>
        </w:tc>
        <w:tc>
          <w:tcPr>
            <w:tcW w:w="3458"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728" w:type="dxa"/>
            <w:noWrap w:val="0"/>
            <w:vAlign w:val="top"/>
          </w:tcPr>
          <w:p>
            <w:pPr>
              <w:ind w:firstLine="640"/>
              <w:jc w:val="center"/>
              <w:rPr>
                <w:rFonts w:ascii="仿宋_GB2312" w:hAnsi="仿宋"/>
                <w:color w:val="000000"/>
                <w:szCs w:val="21"/>
                <w:highlight w:val="none"/>
              </w:rPr>
            </w:pPr>
          </w:p>
        </w:tc>
        <w:tc>
          <w:tcPr>
            <w:tcW w:w="3458"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728" w:type="dxa"/>
            <w:noWrap w:val="0"/>
            <w:vAlign w:val="top"/>
          </w:tcPr>
          <w:p>
            <w:pPr>
              <w:ind w:firstLine="640"/>
              <w:jc w:val="center"/>
              <w:rPr>
                <w:rFonts w:ascii="仿宋_GB2312" w:hAnsi="仿宋"/>
                <w:color w:val="000000"/>
                <w:szCs w:val="21"/>
                <w:highlight w:val="none"/>
              </w:rPr>
            </w:pPr>
          </w:p>
        </w:tc>
        <w:tc>
          <w:tcPr>
            <w:tcW w:w="3458"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728" w:type="dxa"/>
            <w:noWrap w:val="0"/>
            <w:vAlign w:val="top"/>
          </w:tcPr>
          <w:p>
            <w:pPr>
              <w:ind w:firstLine="640"/>
              <w:jc w:val="center"/>
              <w:rPr>
                <w:rFonts w:ascii="仿宋_GB2312" w:hAnsi="仿宋"/>
                <w:color w:val="000000"/>
                <w:szCs w:val="21"/>
                <w:highlight w:val="none"/>
              </w:rPr>
            </w:pPr>
          </w:p>
        </w:tc>
        <w:tc>
          <w:tcPr>
            <w:tcW w:w="3458"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728" w:type="dxa"/>
            <w:noWrap w:val="0"/>
            <w:vAlign w:val="top"/>
          </w:tcPr>
          <w:p>
            <w:pPr>
              <w:ind w:firstLine="640"/>
              <w:jc w:val="center"/>
              <w:rPr>
                <w:rFonts w:ascii="仿宋_GB2312" w:hAnsi="仿宋"/>
                <w:color w:val="000000"/>
                <w:szCs w:val="21"/>
                <w:highlight w:val="none"/>
              </w:rPr>
            </w:pPr>
          </w:p>
        </w:tc>
        <w:tc>
          <w:tcPr>
            <w:tcW w:w="3458"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728" w:type="dxa"/>
            <w:noWrap w:val="0"/>
            <w:vAlign w:val="top"/>
          </w:tcPr>
          <w:p>
            <w:pPr>
              <w:ind w:firstLine="640"/>
              <w:jc w:val="center"/>
              <w:rPr>
                <w:rFonts w:ascii="仿宋_GB2312" w:hAnsi="仿宋"/>
                <w:color w:val="000000"/>
                <w:szCs w:val="21"/>
                <w:highlight w:val="none"/>
              </w:rPr>
            </w:pPr>
          </w:p>
        </w:tc>
        <w:tc>
          <w:tcPr>
            <w:tcW w:w="3458"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728" w:type="dxa"/>
            <w:noWrap w:val="0"/>
            <w:vAlign w:val="top"/>
          </w:tcPr>
          <w:p>
            <w:pPr>
              <w:ind w:firstLine="640"/>
              <w:jc w:val="center"/>
              <w:rPr>
                <w:rFonts w:ascii="仿宋_GB2312" w:hAnsi="仿宋"/>
                <w:color w:val="000000"/>
                <w:szCs w:val="21"/>
                <w:highlight w:val="none"/>
              </w:rPr>
            </w:pPr>
          </w:p>
        </w:tc>
        <w:tc>
          <w:tcPr>
            <w:tcW w:w="3458"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728" w:type="dxa"/>
            <w:noWrap w:val="0"/>
            <w:vAlign w:val="top"/>
          </w:tcPr>
          <w:p>
            <w:pPr>
              <w:ind w:firstLine="640"/>
              <w:jc w:val="center"/>
              <w:rPr>
                <w:rFonts w:ascii="仿宋_GB2312" w:hAnsi="仿宋"/>
                <w:color w:val="000000"/>
                <w:szCs w:val="21"/>
                <w:highlight w:val="none"/>
              </w:rPr>
            </w:pPr>
          </w:p>
        </w:tc>
        <w:tc>
          <w:tcPr>
            <w:tcW w:w="3458"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728" w:type="dxa"/>
            <w:noWrap w:val="0"/>
            <w:vAlign w:val="top"/>
          </w:tcPr>
          <w:p>
            <w:pPr>
              <w:ind w:firstLine="640"/>
              <w:jc w:val="center"/>
              <w:rPr>
                <w:rFonts w:ascii="仿宋_GB2312" w:hAnsi="仿宋"/>
                <w:color w:val="000000"/>
                <w:szCs w:val="21"/>
                <w:highlight w:val="none"/>
              </w:rPr>
            </w:pPr>
          </w:p>
        </w:tc>
        <w:tc>
          <w:tcPr>
            <w:tcW w:w="3458"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728" w:type="dxa"/>
            <w:noWrap w:val="0"/>
            <w:vAlign w:val="top"/>
          </w:tcPr>
          <w:p>
            <w:pPr>
              <w:ind w:firstLine="640"/>
              <w:jc w:val="center"/>
              <w:rPr>
                <w:rFonts w:ascii="仿宋_GB2312" w:hAnsi="仿宋"/>
                <w:color w:val="000000"/>
                <w:szCs w:val="21"/>
                <w:highlight w:val="none"/>
              </w:rPr>
            </w:pPr>
          </w:p>
        </w:tc>
        <w:tc>
          <w:tcPr>
            <w:tcW w:w="3458"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728" w:type="dxa"/>
            <w:noWrap w:val="0"/>
            <w:vAlign w:val="top"/>
          </w:tcPr>
          <w:p>
            <w:pPr>
              <w:ind w:firstLine="640"/>
              <w:jc w:val="center"/>
              <w:rPr>
                <w:rFonts w:ascii="仿宋_GB2312" w:hAnsi="仿宋"/>
                <w:color w:val="000000"/>
                <w:szCs w:val="21"/>
                <w:highlight w:val="none"/>
              </w:rPr>
            </w:pPr>
          </w:p>
        </w:tc>
        <w:tc>
          <w:tcPr>
            <w:tcW w:w="3458"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728" w:type="dxa"/>
            <w:noWrap w:val="0"/>
            <w:vAlign w:val="top"/>
          </w:tcPr>
          <w:p>
            <w:pPr>
              <w:ind w:firstLine="640"/>
              <w:jc w:val="center"/>
              <w:rPr>
                <w:rFonts w:ascii="仿宋_GB2312" w:hAnsi="仿宋"/>
                <w:color w:val="000000"/>
                <w:szCs w:val="21"/>
                <w:highlight w:val="none"/>
              </w:rPr>
            </w:pPr>
          </w:p>
        </w:tc>
        <w:tc>
          <w:tcPr>
            <w:tcW w:w="3458"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728" w:type="dxa"/>
            <w:noWrap w:val="0"/>
            <w:vAlign w:val="top"/>
          </w:tcPr>
          <w:p>
            <w:pPr>
              <w:ind w:firstLine="640"/>
              <w:jc w:val="center"/>
              <w:rPr>
                <w:rFonts w:ascii="仿宋_GB2312" w:hAnsi="仿宋"/>
                <w:color w:val="000000"/>
                <w:szCs w:val="21"/>
                <w:highlight w:val="none"/>
              </w:rPr>
            </w:pPr>
          </w:p>
        </w:tc>
        <w:tc>
          <w:tcPr>
            <w:tcW w:w="3458"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728" w:type="dxa"/>
            <w:noWrap w:val="0"/>
            <w:vAlign w:val="top"/>
          </w:tcPr>
          <w:p>
            <w:pPr>
              <w:ind w:firstLine="640"/>
              <w:jc w:val="center"/>
              <w:rPr>
                <w:rFonts w:ascii="仿宋_GB2312" w:hAnsi="仿宋"/>
                <w:color w:val="000000"/>
                <w:szCs w:val="21"/>
                <w:highlight w:val="none"/>
              </w:rPr>
            </w:pPr>
          </w:p>
        </w:tc>
        <w:tc>
          <w:tcPr>
            <w:tcW w:w="3458"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728" w:type="dxa"/>
            <w:noWrap w:val="0"/>
            <w:vAlign w:val="top"/>
          </w:tcPr>
          <w:p>
            <w:pPr>
              <w:ind w:firstLine="640"/>
              <w:jc w:val="center"/>
              <w:rPr>
                <w:rFonts w:ascii="仿宋_GB2312" w:hAnsi="仿宋"/>
                <w:color w:val="000000"/>
                <w:szCs w:val="21"/>
                <w:highlight w:val="none"/>
              </w:rPr>
            </w:pPr>
          </w:p>
        </w:tc>
        <w:tc>
          <w:tcPr>
            <w:tcW w:w="3458"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c>
          <w:tcPr>
            <w:tcW w:w="892" w:type="dxa"/>
            <w:noWrap w:val="0"/>
            <w:vAlign w:val="top"/>
          </w:tcPr>
          <w:p>
            <w:pPr>
              <w:ind w:firstLine="640"/>
              <w:jc w:val="center"/>
              <w:rPr>
                <w:rFonts w:ascii="仿宋_GB2312" w:hAnsi="仿宋"/>
                <w:color w:val="000000"/>
                <w:szCs w:val="21"/>
                <w:highlight w:val="none"/>
              </w:rPr>
            </w:pPr>
          </w:p>
        </w:tc>
      </w:tr>
    </w:tbl>
    <w:p>
      <w:pPr>
        <w:snapToGrid w:val="0"/>
        <w:spacing w:line="400" w:lineRule="exact"/>
        <w:ind w:firstLine="420"/>
        <w:rPr>
          <w:rFonts w:hint="eastAsia" w:ascii="方正小标宋简体" w:hAnsi="方正小标宋简体" w:eastAsia="方正小标宋简体" w:cs="方正小标宋简体"/>
          <w:b w:val="0"/>
          <w:bCs w:val="0"/>
          <w:color w:val="000000"/>
          <w:sz w:val="40"/>
          <w:szCs w:val="40"/>
          <w:highlight w:val="none"/>
        </w:rPr>
      </w:pPr>
      <w:r>
        <w:rPr>
          <w:rFonts w:hint="eastAsia"/>
          <w:color w:val="000000"/>
          <w:sz w:val="21"/>
          <w:highlight w:val="none"/>
        </w:rPr>
        <w:t>填表说明：请在相应的评价等次栏内划“√”号；意见建议可另附页。</w:t>
      </w:r>
      <w:bookmarkStart w:id="37" w:name="_Toc84668054"/>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color w:val="000000"/>
          <w:sz w:val="44"/>
          <w:szCs w:val="44"/>
          <w:highlight w:val="none"/>
          <w:lang w:val="en-US" w:eastAsia="zh-CN"/>
        </w:rPr>
      </w:pPr>
      <w:bookmarkStart w:id="38" w:name="_Toc28135"/>
      <w:r>
        <w:rPr>
          <w:rFonts w:hint="eastAsia" w:ascii="方正小标宋简体" w:hAnsi="方正小标宋简体" w:eastAsia="方正小标宋简体" w:cs="方正小标宋简体"/>
          <w:color w:val="000000"/>
          <w:sz w:val="44"/>
          <w:szCs w:val="44"/>
          <w:highlight w:val="none"/>
          <w:lang w:val="en-US" w:eastAsia="zh-CN"/>
        </w:rPr>
        <w:t>落实意识形态工作责任制考核办法</w:t>
      </w:r>
      <w:bookmarkEnd w:id="37"/>
      <w:bookmarkEnd w:id="38"/>
    </w:p>
    <w:p>
      <w:pPr>
        <w:keepNext w:val="0"/>
        <w:keepLines w:val="0"/>
        <w:pageBreakBefore w:val="0"/>
        <w:widowControl w:val="0"/>
        <w:kinsoku/>
        <w:wordWrap/>
        <w:overflowPunct/>
        <w:topLinePunct w:val="0"/>
        <w:autoSpaceDE/>
        <w:autoSpaceDN/>
        <w:bidi w:val="0"/>
        <w:adjustRightInd/>
        <w:snapToGrid/>
        <w:spacing w:line="586" w:lineRule="exact"/>
        <w:textAlignment w:val="auto"/>
        <w:rPr>
          <w:rFonts w:hint="eastAsia" w:ascii="仿宋_GB2312" w:hAnsi="仿宋_GB2312" w:eastAsia="仿宋_GB2312" w:cs="仿宋_GB2312"/>
          <w:color w:val="00000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为认真贯彻中央、省委、市委关于意识形态工作的决策部署，全面落实党委意识形态工作责任制，根据《郑州澍青医学高等专科学校意识形态阵地管理办法》（校党字〔20</w:t>
      </w:r>
      <w:r>
        <w:rPr>
          <w:rFonts w:hint="eastAsia" w:ascii="仿宋_GB2312" w:hAnsi="仿宋_GB2312" w:eastAsia="仿宋_GB2312" w:cs="仿宋_GB2312"/>
          <w:color w:val="000000"/>
          <w:highlight w:val="none"/>
          <w:lang w:val="en-US" w:eastAsia="zh-CN"/>
        </w:rPr>
        <w:t>21</w:t>
      </w:r>
      <w:r>
        <w:rPr>
          <w:rFonts w:hint="eastAsia" w:ascii="仿宋_GB2312" w:hAnsi="仿宋_GB2312" w:eastAsia="仿宋_GB2312" w:cs="仿宋_GB2312"/>
          <w:color w:val="000000"/>
          <w:highlight w:val="none"/>
        </w:rPr>
        <w:t>〕</w:t>
      </w:r>
      <w:r>
        <w:rPr>
          <w:rFonts w:hint="eastAsia" w:ascii="仿宋_GB2312" w:hAnsi="仿宋_GB2312" w:eastAsia="仿宋_GB2312" w:cs="仿宋_GB2312"/>
          <w:color w:val="000000"/>
          <w:highlight w:val="none"/>
          <w:lang w:val="en-US" w:eastAsia="zh-CN"/>
        </w:rPr>
        <w:t>53</w:t>
      </w:r>
      <w:r>
        <w:rPr>
          <w:rFonts w:hint="eastAsia" w:ascii="仿宋_GB2312" w:hAnsi="仿宋_GB2312" w:eastAsia="仿宋_GB2312" w:cs="仿宋_GB2312"/>
          <w:color w:val="000000"/>
          <w:highlight w:val="none"/>
        </w:rPr>
        <w:t>号</w:t>
      </w:r>
      <w:r>
        <w:rPr>
          <w:rFonts w:hint="eastAsia" w:ascii="仿宋_GB2312" w:hAnsi="仿宋_GB2312" w:eastAsia="仿宋_GB2312" w:cs="仿宋_GB2312"/>
          <w:color w:val="000000"/>
          <w:highlight w:val="none"/>
          <w:lang w:eastAsia="zh-CN"/>
        </w:rPr>
        <w:t>，以下简称《管理办法》</w:t>
      </w:r>
      <w:r>
        <w:rPr>
          <w:rFonts w:hint="eastAsia" w:ascii="仿宋_GB2312" w:hAnsi="仿宋_GB2312" w:eastAsia="仿宋_GB2312" w:cs="仿宋_GB2312"/>
          <w:color w:val="000000"/>
          <w:highlight w:val="none"/>
        </w:rPr>
        <w:t>）精神，制定本办法。</w:t>
      </w:r>
      <w:r>
        <w:rPr>
          <w:rFonts w:hint="eastAsia" w:ascii="仿宋_GB2312" w:hAnsi="仿宋_GB2312" w:eastAsia="仿宋_GB2312" w:cs="仿宋_GB2312"/>
          <w:color w:val="000000"/>
          <w:highlight w:val="none"/>
        </w:rPr>
        <w:br w:type="textWrapping"/>
      </w:r>
      <w:r>
        <w:rPr>
          <w:rFonts w:hint="eastAsia" w:ascii="仿宋_GB2312" w:hAnsi="仿宋_GB2312" w:eastAsia="仿宋_GB2312" w:cs="仿宋_GB2312"/>
          <w:color w:val="000000"/>
          <w:highlight w:val="none"/>
        </w:rPr>
        <w:t>　　</w:t>
      </w:r>
      <w:r>
        <w:rPr>
          <w:rFonts w:hint="eastAsia" w:ascii="黑体" w:hAnsi="黑体" w:eastAsia="黑体" w:cs="黑体"/>
          <w:color w:val="000000"/>
          <w:highlight w:val="none"/>
        </w:rPr>
        <w:t xml:space="preserve">一、考核原则 </w:t>
      </w:r>
      <w:r>
        <w:rPr>
          <w:rFonts w:hint="eastAsia" w:ascii="仿宋_GB2312" w:hAnsi="仿宋_GB2312" w:eastAsia="仿宋_GB2312" w:cs="仿宋_GB2312"/>
          <w:color w:val="000000"/>
          <w:highlight w:val="none"/>
        </w:rPr>
        <w:br w:type="textWrapping"/>
      </w:r>
      <w:r>
        <w:rPr>
          <w:rFonts w:hint="eastAsia" w:ascii="仿宋_GB2312" w:hAnsi="仿宋_GB2312" w:eastAsia="仿宋_GB2312" w:cs="仿宋_GB2312"/>
          <w:color w:val="000000"/>
          <w:highlight w:val="none"/>
        </w:rPr>
        <w:t xml:space="preserve">　　坚持客观全面、突出重点、统筹兼顾、注重实效的原则，坚持日常考核与年度集中考核相结合，定性考核与定量考核相结合，考出导向，评出压力，比出动力，推动工作。 </w:t>
      </w:r>
      <w:r>
        <w:rPr>
          <w:rFonts w:hint="eastAsia" w:ascii="仿宋_GB2312" w:hAnsi="仿宋_GB2312" w:eastAsia="仿宋_GB2312" w:cs="仿宋_GB2312"/>
          <w:color w:val="000000"/>
          <w:highlight w:val="none"/>
        </w:rPr>
        <w:br w:type="textWrapping"/>
      </w:r>
      <w:r>
        <w:rPr>
          <w:rFonts w:hint="eastAsia" w:ascii="仿宋_GB2312" w:hAnsi="仿宋_GB2312" w:eastAsia="仿宋_GB2312" w:cs="仿宋_GB2312"/>
          <w:color w:val="000000"/>
          <w:highlight w:val="none"/>
        </w:rPr>
        <w:t>　　</w:t>
      </w:r>
      <w:r>
        <w:rPr>
          <w:rFonts w:hint="eastAsia" w:ascii="黑体" w:hAnsi="黑体" w:eastAsia="黑体" w:cs="黑体"/>
          <w:color w:val="000000"/>
          <w:highlight w:val="none"/>
        </w:rPr>
        <w:t xml:space="preserve">二、考核对象 </w:t>
      </w:r>
      <w:r>
        <w:rPr>
          <w:rFonts w:hint="eastAsia" w:ascii="仿宋_GB2312" w:hAnsi="仿宋_GB2312" w:eastAsia="仿宋_GB2312" w:cs="仿宋_GB2312"/>
          <w:color w:val="000000"/>
          <w:highlight w:val="none"/>
        </w:rPr>
        <w:br w:type="textWrapping"/>
      </w:r>
      <w:r>
        <w:rPr>
          <w:rFonts w:hint="eastAsia" w:ascii="仿宋_GB2312" w:hAnsi="仿宋_GB2312" w:eastAsia="仿宋_GB2312" w:cs="仿宋_GB2312"/>
          <w:color w:val="000000"/>
          <w:highlight w:val="none"/>
        </w:rPr>
        <w:t>　　全校党总支</w:t>
      </w:r>
      <w:r>
        <w:rPr>
          <w:rFonts w:hint="eastAsia" w:ascii="仿宋_GB2312" w:hAnsi="仿宋_GB2312" w:eastAsia="仿宋_GB2312" w:cs="仿宋_GB2312"/>
          <w:color w:val="000000"/>
          <w:highlight w:val="none"/>
        </w:rPr>
        <w:br w:type="textWrapping"/>
      </w:r>
      <w:r>
        <w:rPr>
          <w:rFonts w:hint="eastAsia" w:ascii="仿宋_GB2312" w:hAnsi="仿宋_GB2312" w:eastAsia="仿宋_GB2312" w:cs="仿宋_GB2312"/>
          <w:color w:val="000000"/>
          <w:highlight w:val="none"/>
        </w:rPr>
        <w:t>　　</w:t>
      </w:r>
      <w:r>
        <w:rPr>
          <w:rFonts w:hint="eastAsia" w:ascii="黑体" w:hAnsi="黑体" w:eastAsia="黑体" w:cs="黑体"/>
          <w:color w:val="000000"/>
          <w:highlight w:val="none"/>
        </w:rPr>
        <w:t xml:space="preserve">三、考核内容 </w:t>
      </w:r>
      <w:r>
        <w:rPr>
          <w:rFonts w:hint="eastAsia" w:ascii="仿宋_GB2312" w:hAnsi="仿宋_GB2312" w:eastAsia="仿宋_GB2312" w:cs="仿宋_GB2312"/>
          <w:color w:val="000000"/>
          <w:highlight w:val="none"/>
        </w:rPr>
        <w:br w:type="textWrapping"/>
      </w:r>
      <w:r>
        <w:rPr>
          <w:rFonts w:hint="eastAsia" w:ascii="仿宋_GB2312" w:hAnsi="仿宋_GB2312" w:eastAsia="仿宋_GB2312" w:cs="仿宋_GB2312"/>
          <w:color w:val="000000"/>
          <w:highlight w:val="none"/>
        </w:rPr>
        <w:t>　　意识形态责任制考核内容主要包括：党总支意识形态工作主体责任、党总支书记第一责任人责任、党总支分管领导直接责任人责任、其他领导“一岗双责”责任等四个方面的责任落实情况，以及重点责任单位意识形态工作责任制落实情况。</w:t>
      </w:r>
    </w:p>
    <w:p>
      <w:pPr>
        <w:keepNext w:val="0"/>
        <w:keepLines w:val="0"/>
        <w:pageBreakBefore w:val="0"/>
        <w:widowControl w:val="0"/>
        <w:numPr>
          <w:ilvl w:val="0"/>
          <w:numId w:val="1"/>
        </w:numPr>
        <w:kinsoku/>
        <w:wordWrap/>
        <w:overflowPunct/>
        <w:topLinePunct w:val="0"/>
        <w:autoSpaceDE/>
        <w:autoSpaceDN/>
        <w:bidi w:val="0"/>
        <w:adjustRightInd/>
        <w:snapToGrid/>
        <w:spacing w:line="586" w:lineRule="exact"/>
        <w:ind w:left="631" w:leftChars="0"/>
        <w:textAlignment w:val="auto"/>
        <w:rPr>
          <w:rFonts w:hint="eastAsia" w:ascii="黑体" w:hAnsi="黑体" w:eastAsia="黑体" w:cs="黑体"/>
          <w:color w:val="000000"/>
          <w:highlight w:val="none"/>
        </w:rPr>
      </w:pPr>
      <w:r>
        <w:rPr>
          <w:rFonts w:hint="eastAsia" w:ascii="黑体" w:hAnsi="黑体" w:eastAsia="黑体" w:cs="黑体"/>
          <w:color w:val="000000"/>
          <w:highlight w:val="none"/>
        </w:rPr>
        <w:t xml:space="preserve">考核分值构成和考核方式 </w:t>
      </w:r>
    </w:p>
    <w:p>
      <w:pPr>
        <w:keepNext w:val="0"/>
        <w:keepLines w:val="0"/>
        <w:pageBreakBefore w:val="0"/>
        <w:widowControl w:val="0"/>
        <w:numPr>
          <w:ilvl w:val="0"/>
          <w:numId w:val="0"/>
        </w:numPr>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 xml:space="preserve">1.考核分值构成。对各党总支设置12项考核指标（详见附件1），分值100分。依据责任追究情形设置10项负面清单（详见附件2），视情节轻重分别扣2分、4分、6分。考核评分减去负面清单扣分为被考核单位最后得分。 </w:t>
      </w:r>
    </w:p>
    <w:p>
      <w:pPr>
        <w:keepNext w:val="0"/>
        <w:keepLines w:val="0"/>
        <w:pageBreakBefore w:val="0"/>
        <w:widowControl w:val="0"/>
        <w:numPr>
          <w:ilvl w:val="0"/>
          <w:numId w:val="0"/>
        </w:numPr>
        <w:kinsoku/>
        <w:wordWrap/>
        <w:overflowPunct/>
        <w:topLinePunct w:val="0"/>
        <w:autoSpaceDE/>
        <w:autoSpaceDN/>
        <w:bidi w:val="0"/>
        <w:adjustRightInd/>
        <w:snapToGrid/>
        <w:spacing w:line="586" w:lineRule="exact"/>
        <w:ind w:left="0" w:leftChars="0" w:firstLine="632" w:firstLineChars="200"/>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 xml:space="preserve">2.各党总支考核方式。现场调研和书记述职评议考核，现场调研分值占60%，书记述职评议考核分值占40%。 </w:t>
      </w:r>
      <w:r>
        <w:rPr>
          <w:rFonts w:hint="eastAsia" w:ascii="仿宋_GB2312" w:hAnsi="仿宋_GB2312" w:eastAsia="仿宋_GB2312" w:cs="仿宋_GB2312"/>
          <w:color w:val="000000"/>
          <w:highlight w:val="none"/>
        </w:rPr>
        <w:br w:type="textWrapping"/>
      </w:r>
      <w:r>
        <w:rPr>
          <w:rFonts w:hint="eastAsia" w:ascii="仿宋_GB2312" w:hAnsi="仿宋_GB2312" w:eastAsia="仿宋_GB2312" w:cs="仿宋_GB2312"/>
          <w:color w:val="000000"/>
          <w:highlight w:val="none"/>
        </w:rPr>
        <w:t>　　</w:t>
      </w:r>
      <w:r>
        <w:rPr>
          <w:rFonts w:hint="eastAsia" w:ascii="黑体" w:hAnsi="黑体" w:eastAsia="黑体" w:cs="黑体"/>
          <w:color w:val="000000"/>
          <w:highlight w:val="none"/>
        </w:rPr>
        <w:t xml:space="preserve">五、考核结果运用 </w:t>
      </w:r>
      <w:r>
        <w:rPr>
          <w:rFonts w:hint="eastAsia" w:ascii="仿宋_GB2312" w:hAnsi="仿宋_GB2312" w:eastAsia="仿宋_GB2312" w:cs="仿宋_GB2312"/>
          <w:color w:val="000000"/>
          <w:highlight w:val="none"/>
        </w:rPr>
        <w:br w:type="textWrapping"/>
      </w:r>
      <w:r>
        <w:rPr>
          <w:rFonts w:hint="eastAsia" w:ascii="仿宋_GB2312" w:hAnsi="仿宋_GB2312" w:eastAsia="仿宋_GB2312" w:cs="仿宋_GB2312"/>
          <w:color w:val="000000"/>
          <w:highlight w:val="none"/>
        </w:rPr>
        <w:t xml:space="preserve">　　考核结果作为党委评价、使用和奖惩干部的重要依据。 </w:t>
      </w:r>
      <w:r>
        <w:rPr>
          <w:rFonts w:hint="eastAsia" w:ascii="仿宋_GB2312" w:hAnsi="仿宋_GB2312" w:eastAsia="仿宋_GB2312" w:cs="仿宋_GB2312"/>
          <w:color w:val="000000"/>
          <w:highlight w:val="none"/>
        </w:rPr>
        <w:br w:type="textWrapping"/>
      </w:r>
      <w:r>
        <w:rPr>
          <w:rFonts w:hint="eastAsia" w:ascii="仿宋_GB2312" w:hAnsi="仿宋_GB2312" w:eastAsia="仿宋_GB2312" w:cs="仿宋_GB2312"/>
          <w:color w:val="000000"/>
          <w:highlight w:val="none"/>
        </w:rPr>
        <w:t>　　</w:t>
      </w:r>
      <w:r>
        <w:rPr>
          <w:rFonts w:hint="eastAsia" w:ascii="黑体" w:hAnsi="黑体" w:eastAsia="黑体" w:cs="黑体"/>
          <w:color w:val="000000"/>
          <w:highlight w:val="none"/>
        </w:rPr>
        <w:t xml:space="preserve">六、考核组织领导 </w:t>
      </w:r>
      <w:r>
        <w:rPr>
          <w:rFonts w:hint="eastAsia" w:ascii="仿宋_GB2312" w:hAnsi="仿宋_GB2312" w:eastAsia="仿宋_GB2312" w:cs="仿宋_GB2312"/>
          <w:color w:val="000000"/>
          <w:highlight w:val="none"/>
        </w:rPr>
        <w:br w:type="textWrapping"/>
      </w:r>
      <w:r>
        <w:rPr>
          <w:rFonts w:hint="eastAsia" w:ascii="仿宋_GB2312" w:hAnsi="仿宋_GB2312" w:eastAsia="仿宋_GB2312" w:cs="仿宋_GB2312"/>
          <w:color w:val="000000"/>
          <w:highlight w:val="none"/>
        </w:rPr>
        <w:t xml:space="preserve">　　意识形态工作考核，在校党委的统一领导下，由意识形态和网络意识形态工作领导小组办公室具体负责组织实施。 </w:t>
      </w:r>
      <w:r>
        <w:rPr>
          <w:rFonts w:hint="eastAsia" w:ascii="仿宋_GB2312" w:hAnsi="仿宋_GB2312" w:eastAsia="仿宋_GB2312" w:cs="仿宋_GB2312"/>
          <w:color w:val="000000"/>
          <w:highlight w:val="none"/>
        </w:rPr>
        <w:br w:type="textWrapping"/>
      </w:r>
      <w:r>
        <w:rPr>
          <w:rFonts w:hint="eastAsia" w:ascii="仿宋_GB2312" w:hAnsi="仿宋_GB2312" w:eastAsia="仿宋_GB2312" w:cs="仿宋_GB2312"/>
          <w:color w:val="000000"/>
          <w:highlight w:val="none"/>
        </w:rPr>
        <w:t>　　　　</w:t>
      </w:r>
      <w:r>
        <w:rPr>
          <w:rFonts w:hint="eastAsia" w:ascii="仿宋_GB2312" w:hAnsi="仿宋_GB2312" w:eastAsia="仿宋_GB2312" w:cs="仿宋_GB2312"/>
          <w:color w:val="000000"/>
          <w:highlight w:val="none"/>
        </w:rPr>
        <w:br w:type="textWrapping"/>
      </w:r>
      <w:r>
        <w:rPr>
          <w:rFonts w:hint="eastAsia" w:ascii="仿宋_GB2312" w:hAnsi="仿宋_GB2312" w:eastAsia="仿宋_GB2312" w:cs="仿宋_GB2312"/>
          <w:color w:val="000000"/>
          <w:highlight w:val="none"/>
        </w:rPr>
        <w:t xml:space="preserve">　　附件:1.各党总支意识形态工作责任制考核评分细则 </w:t>
      </w:r>
      <w:r>
        <w:rPr>
          <w:rFonts w:hint="eastAsia" w:ascii="仿宋_GB2312" w:hAnsi="仿宋_GB2312" w:eastAsia="仿宋_GB2312" w:cs="仿宋_GB2312"/>
          <w:color w:val="000000"/>
          <w:highlight w:val="none"/>
        </w:rPr>
        <w:br w:type="textWrapping"/>
      </w:r>
      <w:r>
        <w:rPr>
          <w:rFonts w:hint="eastAsia" w:ascii="仿宋_GB2312" w:hAnsi="仿宋_GB2312" w:eastAsia="仿宋_GB2312" w:cs="仿宋_GB2312"/>
          <w:color w:val="000000"/>
          <w:highlight w:val="none"/>
        </w:rPr>
        <w:t>　　　　 2.各党总支意识形态工作责任制负面清单</w:t>
      </w:r>
      <w:r>
        <w:rPr>
          <w:rFonts w:hint="eastAsia" w:ascii="仿宋_GB2312" w:hAnsi="仿宋_GB2312" w:eastAsia="仿宋_GB2312" w:cs="仿宋_GB2312"/>
          <w:color w:val="000000"/>
          <w:highlight w:val="none"/>
        </w:rPr>
        <w:br w:type="textWrapping"/>
      </w:r>
      <w:r>
        <w:rPr>
          <w:rFonts w:hint="eastAsia" w:ascii="仿宋_GB2312" w:hAnsi="仿宋_GB2312" w:eastAsia="仿宋_GB2312" w:cs="仿宋_GB2312"/>
          <w:color w:val="000000"/>
          <w:highlight w:val="none"/>
        </w:rPr>
        <w:t>　　　　</w:t>
      </w:r>
      <w:r>
        <w:rPr>
          <w:rFonts w:hint="eastAsia" w:ascii="仿宋_GB2312" w:hAnsi="仿宋_GB2312" w:eastAsia="仿宋_GB2312" w:cs="仿宋_GB2312"/>
          <w:color w:val="000000"/>
          <w:highlight w:val="none"/>
        </w:rPr>
        <w:br w:type="textWrapping"/>
      </w:r>
    </w:p>
    <w:p>
      <w:pPr>
        <w:pStyle w:val="2"/>
        <w:keepNext w:val="0"/>
        <w:keepLines w:val="0"/>
        <w:pageBreakBefore w:val="0"/>
        <w:widowControl w:val="0"/>
        <w:kinsoku/>
        <w:wordWrap/>
        <w:overflowPunct/>
        <w:topLinePunct w:val="0"/>
        <w:autoSpaceDE/>
        <w:autoSpaceDN/>
        <w:bidi w:val="0"/>
        <w:adjustRightInd/>
        <w:snapToGrid w:val="0"/>
        <w:spacing w:line="586"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highlight w:val="none"/>
        </w:rPr>
      </w:pPr>
    </w:p>
    <w:p>
      <w:pPr>
        <w:pStyle w:val="2"/>
        <w:keepNext w:val="0"/>
        <w:keepLines w:val="0"/>
        <w:pageBreakBefore w:val="0"/>
        <w:widowControl w:val="0"/>
        <w:kinsoku/>
        <w:wordWrap/>
        <w:overflowPunct/>
        <w:topLinePunct w:val="0"/>
        <w:autoSpaceDE/>
        <w:autoSpaceDN/>
        <w:bidi w:val="0"/>
        <w:adjustRightInd/>
        <w:snapToGrid w:val="0"/>
        <w:spacing w:line="586"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highlight w:val="none"/>
        </w:rPr>
      </w:pPr>
    </w:p>
    <w:p>
      <w:pPr>
        <w:pStyle w:val="2"/>
        <w:keepNext w:val="0"/>
        <w:keepLines w:val="0"/>
        <w:pageBreakBefore w:val="0"/>
        <w:widowControl w:val="0"/>
        <w:kinsoku/>
        <w:wordWrap/>
        <w:overflowPunct/>
        <w:topLinePunct w:val="0"/>
        <w:autoSpaceDE/>
        <w:autoSpaceDN/>
        <w:bidi w:val="0"/>
        <w:adjustRightInd/>
        <w:snapToGrid w:val="0"/>
        <w:spacing w:line="586"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highlight w:val="none"/>
        </w:rPr>
      </w:pPr>
    </w:p>
    <w:p>
      <w:pPr>
        <w:pStyle w:val="2"/>
        <w:keepNext w:val="0"/>
        <w:keepLines w:val="0"/>
        <w:pageBreakBefore w:val="0"/>
        <w:widowControl w:val="0"/>
        <w:kinsoku/>
        <w:wordWrap/>
        <w:overflowPunct/>
        <w:topLinePunct w:val="0"/>
        <w:autoSpaceDE/>
        <w:autoSpaceDN/>
        <w:bidi w:val="0"/>
        <w:adjustRightInd/>
        <w:snapToGrid w:val="0"/>
        <w:spacing w:line="586"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highlight w:val="none"/>
        </w:rPr>
      </w:pPr>
    </w:p>
    <w:p>
      <w:pPr>
        <w:pStyle w:val="2"/>
        <w:keepNext w:val="0"/>
        <w:keepLines w:val="0"/>
        <w:pageBreakBefore w:val="0"/>
        <w:widowControl w:val="0"/>
        <w:kinsoku/>
        <w:wordWrap/>
        <w:overflowPunct/>
        <w:topLinePunct w:val="0"/>
        <w:autoSpaceDE/>
        <w:autoSpaceDN/>
        <w:bidi w:val="0"/>
        <w:adjustRightInd/>
        <w:snapToGrid w:val="0"/>
        <w:spacing w:line="586"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highlight w:val="none"/>
        </w:rPr>
      </w:pPr>
    </w:p>
    <w:p>
      <w:pPr>
        <w:pStyle w:val="2"/>
        <w:keepNext w:val="0"/>
        <w:keepLines w:val="0"/>
        <w:pageBreakBefore w:val="0"/>
        <w:widowControl w:val="0"/>
        <w:kinsoku/>
        <w:wordWrap/>
        <w:overflowPunct/>
        <w:topLinePunct w:val="0"/>
        <w:autoSpaceDE/>
        <w:autoSpaceDN/>
        <w:bidi w:val="0"/>
        <w:adjustRightInd/>
        <w:snapToGrid w:val="0"/>
        <w:spacing w:line="586"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highlight w:val="none"/>
        </w:rPr>
      </w:pPr>
    </w:p>
    <w:p>
      <w:pPr>
        <w:pStyle w:val="2"/>
        <w:keepNext w:val="0"/>
        <w:keepLines w:val="0"/>
        <w:pageBreakBefore w:val="0"/>
        <w:widowControl w:val="0"/>
        <w:kinsoku/>
        <w:wordWrap/>
        <w:overflowPunct/>
        <w:topLinePunct w:val="0"/>
        <w:autoSpaceDE/>
        <w:autoSpaceDN/>
        <w:bidi w:val="0"/>
        <w:adjustRightInd/>
        <w:snapToGrid w:val="0"/>
        <w:spacing w:line="586"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highlight w:val="none"/>
        </w:rPr>
      </w:pPr>
    </w:p>
    <w:p>
      <w:pPr>
        <w:pStyle w:val="2"/>
        <w:keepNext w:val="0"/>
        <w:keepLines w:val="0"/>
        <w:pageBreakBefore w:val="0"/>
        <w:widowControl w:val="0"/>
        <w:kinsoku/>
        <w:wordWrap/>
        <w:overflowPunct/>
        <w:topLinePunct w:val="0"/>
        <w:autoSpaceDE/>
        <w:autoSpaceDN/>
        <w:bidi w:val="0"/>
        <w:adjustRightInd/>
        <w:snapToGrid w:val="0"/>
        <w:spacing w:line="586"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highlight w:val="none"/>
        </w:rPr>
      </w:pPr>
    </w:p>
    <w:p>
      <w:pPr>
        <w:pStyle w:val="2"/>
        <w:keepNext w:val="0"/>
        <w:keepLines w:val="0"/>
        <w:pageBreakBefore w:val="0"/>
        <w:widowControl w:val="0"/>
        <w:kinsoku/>
        <w:wordWrap/>
        <w:overflowPunct/>
        <w:topLinePunct w:val="0"/>
        <w:autoSpaceDE/>
        <w:autoSpaceDN/>
        <w:bidi w:val="0"/>
        <w:adjustRightInd/>
        <w:snapToGrid w:val="0"/>
        <w:spacing w:line="586"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highlight w:val="none"/>
        </w:rPr>
        <w:sectPr>
          <w:footerReference r:id="rId3" w:type="default"/>
          <w:footerReference r:id="rId4" w:type="even"/>
          <w:pgSz w:w="11906" w:h="16838"/>
          <w:pgMar w:top="1984" w:right="1474" w:bottom="1757" w:left="1588" w:header="851" w:footer="1587" w:gutter="0"/>
          <w:pgBorders>
            <w:top w:val="none" w:sz="0" w:space="0"/>
            <w:left w:val="none" w:sz="0" w:space="0"/>
            <w:bottom w:val="none" w:sz="0" w:space="0"/>
            <w:right w:val="none" w:sz="0" w:space="0"/>
          </w:pgBorders>
          <w:pgNumType w:fmt="decimal"/>
          <w:cols w:space="720" w:num="1"/>
          <w:rtlGutter w:val="0"/>
          <w:docGrid w:type="linesAndChars" w:linePitch="595" w:charSpace="-849"/>
        </w:sectPr>
      </w:pPr>
    </w:p>
    <w:p>
      <w:pPr>
        <w:snapToGrid w:val="0"/>
        <w:spacing w:line="590" w:lineRule="exact"/>
        <w:ind w:left="0" w:leftChars="0" w:firstLine="0" w:firstLineChars="0"/>
        <w:rPr>
          <w:rFonts w:ascii="黑体" w:hAnsi="黑体" w:eastAsia="黑体" w:cs="黑体"/>
          <w:color w:val="000000"/>
          <w:szCs w:val="21"/>
          <w:highlight w:val="none"/>
        </w:rPr>
      </w:pPr>
      <w:r>
        <w:rPr>
          <w:rFonts w:hint="eastAsia" w:ascii="黑体" w:hAnsi="黑体" w:eastAsia="黑体" w:cs="黑体"/>
          <w:color w:val="000000"/>
          <w:szCs w:val="21"/>
          <w:highlight w:val="none"/>
        </w:rPr>
        <w:t>附件1</w:t>
      </w:r>
    </w:p>
    <w:p>
      <w:pPr>
        <w:keepNext w:val="0"/>
        <w:keepLines w:val="0"/>
        <w:pageBreakBefore w:val="0"/>
        <w:widowControl/>
        <w:kinsoku/>
        <w:wordWrap/>
        <w:overflowPunct/>
        <w:topLinePunct w:val="0"/>
        <w:autoSpaceDE/>
        <w:autoSpaceDN/>
        <w:bidi w:val="0"/>
        <w:adjustRightInd/>
        <w:snapToGrid w:val="0"/>
        <w:spacing w:line="660" w:lineRule="exact"/>
        <w:ind w:firstLine="0" w:firstLineChars="0"/>
        <w:jc w:val="center"/>
        <w:textAlignment w:val="auto"/>
        <w:rPr>
          <w:rFonts w:hint="eastAsia" w:ascii="方正小标宋简体" w:hAnsi="方正小标宋简体" w:eastAsia="方正小标宋简体" w:cs="方正小标宋简体"/>
          <w:b w:val="0"/>
          <w:bCs w:val="0"/>
          <w:color w:val="000000"/>
          <w:sz w:val="44"/>
          <w:szCs w:val="44"/>
          <w:highlight w:val="none"/>
        </w:rPr>
      </w:pPr>
      <w:r>
        <w:rPr>
          <w:rFonts w:hint="eastAsia" w:ascii="方正小标宋简体" w:hAnsi="方正小标宋简体" w:eastAsia="方正小标宋简体" w:cs="方正小标宋简体"/>
          <w:b w:val="0"/>
          <w:bCs w:val="0"/>
          <w:color w:val="000000"/>
          <w:sz w:val="44"/>
          <w:szCs w:val="44"/>
          <w:highlight w:val="none"/>
        </w:rPr>
        <w:t xml:space="preserve">各党总支意识形态工作责任制考核评分细则 </w:t>
      </w:r>
    </w:p>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方正小标宋简体" w:hAnsi="方正小标宋简体" w:eastAsia="方正小标宋简体" w:cs="方正小标宋简体"/>
          <w:b w:val="0"/>
          <w:bCs w:val="0"/>
          <w:color w:val="000000"/>
          <w:sz w:val="44"/>
          <w:szCs w:val="44"/>
          <w:highlight w:val="none"/>
        </w:rPr>
      </w:pPr>
    </w:p>
    <w:tbl>
      <w:tblPr>
        <w:tblStyle w:val="5"/>
        <w:tblW w:w="14025"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765"/>
        <w:gridCol w:w="9525"/>
        <w:gridCol w:w="510"/>
        <w:gridCol w:w="57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5" w:type="dxa"/>
            <w:noWrap w:val="0"/>
            <w:vAlign w:val="center"/>
          </w:tcPr>
          <w:p>
            <w:pPr>
              <w:widowControl/>
              <w:spacing w:line="320" w:lineRule="exact"/>
              <w:ind w:firstLine="0" w:firstLineChars="0"/>
              <w:jc w:val="center"/>
              <w:rPr>
                <w:rFonts w:ascii="黑体" w:hAnsi="黑体" w:eastAsia="黑体" w:cs="黑体"/>
                <w:color w:val="000000"/>
                <w:kern w:val="0"/>
                <w:sz w:val="24"/>
                <w:szCs w:val="24"/>
                <w:highlight w:val="none"/>
              </w:rPr>
            </w:pPr>
            <w:r>
              <w:rPr>
                <w:rFonts w:hint="eastAsia" w:ascii="黑体" w:hAnsi="黑体" w:eastAsia="黑体" w:cs="黑体"/>
                <w:color w:val="000000"/>
                <w:kern w:val="0"/>
                <w:sz w:val="24"/>
                <w:szCs w:val="24"/>
                <w:highlight w:val="none"/>
              </w:rPr>
              <w:t xml:space="preserve">考核内容 </w:t>
            </w:r>
          </w:p>
        </w:tc>
        <w:tc>
          <w:tcPr>
            <w:tcW w:w="765" w:type="dxa"/>
            <w:noWrap w:val="0"/>
            <w:vAlign w:val="center"/>
          </w:tcPr>
          <w:p>
            <w:pPr>
              <w:widowControl/>
              <w:spacing w:line="320" w:lineRule="exact"/>
              <w:ind w:firstLine="0" w:firstLineChars="0"/>
              <w:jc w:val="center"/>
              <w:rPr>
                <w:rFonts w:ascii="黑体" w:hAnsi="黑体" w:eastAsia="黑体" w:cs="黑体"/>
                <w:color w:val="000000"/>
                <w:kern w:val="0"/>
                <w:sz w:val="24"/>
                <w:szCs w:val="24"/>
                <w:highlight w:val="none"/>
              </w:rPr>
            </w:pPr>
            <w:r>
              <w:rPr>
                <w:rFonts w:hint="eastAsia" w:ascii="黑体" w:hAnsi="黑体" w:eastAsia="黑体" w:cs="黑体"/>
                <w:color w:val="000000"/>
                <w:kern w:val="0"/>
                <w:sz w:val="24"/>
                <w:szCs w:val="24"/>
                <w:highlight w:val="none"/>
              </w:rPr>
              <w:t>序号</w:t>
            </w:r>
          </w:p>
        </w:tc>
        <w:tc>
          <w:tcPr>
            <w:tcW w:w="9525" w:type="dxa"/>
            <w:noWrap w:val="0"/>
            <w:vAlign w:val="center"/>
          </w:tcPr>
          <w:p>
            <w:pPr>
              <w:widowControl/>
              <w:spacing w:line="320" w:lineRule="exact"/>
              <w:ind w:firstLine="0" w:firstLineChars="0"/>
              <w:jc w:val="center"/>
              <w:rPr>
                <w:rFonts w:ascii="黑体" w:hAnsi="黑体" w:eastAsia="黑体" w:cs="黑体"/>
                <w:color w:val="000000"/>
                <w:kern w:val="0"/>
                <w:sz w:val="24"/>
                <w:szCs w:val="24"/>
                <w:highlight w:val="none"/>
              </w:rPr>
            </w:pPr>
            <w:r>
              <w:rPr>
                <w:rFonts w:hint="eastAsia" w:ascii="黑体" w:hAnsi="黑体" w:eastAsia="黑体" w:cs="黑体"/>
                <w:color w:val="000000"/>
                <w:kern w:val="0"/>
                <w:sz w:val="24"/>
                <w:szCs w:val="24"/>
                <w:highlight w:val="none"/>
              </w:rPr>
              <w:t xml:space="preserve">评分标准 </w:t>
            </w:r>
          </w:p>
        </w:tc>
        <w:tc>
          <w:tcPr>
            <w:tcW w:w="510" w:type="dxa"/>
            <w:noWrap w:val="0"/>
            <w:vAlign w:val="center"/>
          </w:tcPr>
          <w:p>
            <w:pPr>
              <w:widowControl/>
              <w:spacing w:line="320" w:lineRule="exact"/>
              <w:ind w:firstLine="0" w:firstLineChars="0"/>
              <w:jc w:val="center"/>
              <w:rPr>
                <w:rFonts w:ascii="黑体" w:hAnsi="黑体" w:eastAsia="黑体" w:cs="黑体"/>
                <w:color w:val="000000"/>
                <w:kern w:val="0"/>
                <w:sz w:val="24"/>
                <w:szCs w:val="24"/>
                <w:highlight w:val="none"/>
              </w:rPr>
            </w:pPr>
            <w:r>
              <w:rPr>
                <w:rFonts w:hint="eastAsia" w:ascii="黑体" w:hAnsi="黑体" w:eastAsia="黑体" w:cs="黑体"/>
                <w:color w:val="000000"/>
                <w:kern w:val="0"/>
                <w:sz w:val="24"/>
                <w:szCs w:val="24"/>
                <w:highlight w:val="none"/>
              </w:rPr>
              <w:t>分值</w:t>
            </w:r>
          </w:p>
        </w:tc>
        <w:tc>
          <w:tcPr>
            <w:tcW w:w="570" w:type="dxa"/>
            <w:noWrap w:val="0"/>
            <w:vAlign w:val="center"/>
          </w:tcPr>
          <w:p>
            <w:pPr>
              <w:widowControl/>
              <w:spacing w:line="320" w:lineRule="exact"/>
              <w:ind w:firstLine="0" w:firstLineChars="0"/>
              <w:jc w:val="center"/>
              <w:rPr>
                <w:rFonts w:ascii="黑体" w:hAnsi="黑体" w:eastAsia="黑体" w:cs="黑体"/>
                <w:color w:val="000000"/>
                <w:kern w:val="0"/>
                <w:sz w:val="24"/>
                <w:szCs w:val="24"/>
                <w:highlight w:val="none"/>
              </w:rPr>
            </w:pPr>
            <w:r>
              <w:rPr>
                <w:rFonts w:hint="eastAsia" w:ascii="黑体" w:hAnsi="黑体" w:eastAsia="黑体" w:cs="黑体"/>
                <w:color w:val="000000"/>
                <w:kern w:val="0"/>
                <w:sz w:val="24"/>
                <w:szCs w:val="24"/>
                <w:highlight w:val="none"/>
              </w:rPr>
              <w:t>得分</w:t>
            </w:r>
          </w:p>
        </w:tc>
        <w:tc>
          <w:tcPr>
            <w:tcW w:w="1140" w:type="dxa"/>
            <w:noWrap w:val="0"/>
            <w:vAlign w:val="center"/>
          </w:tcPr>
          <w:p>
            <w:pPr>
              <w:widowControl/>
              <w:spacing w:line="320" w:lineRule="exact"/>
              <w:ind w:firstLine="0" w:firstLineChars="0"/>
              <w:jc w:val="center"/>
              <w:rPr>
                <w:rFonts w:ascii="黑体" w:hAnsi="黑体" w:eastAsia="黑体" w:cs="黑体"/>
                <w:color w:val="000000"/>
                <w:kern w:val="0"/>
                <w:sz w:val="24"/>
                <w:szCs w:val="24"/>
                <w:highlight w:val="none"/>
              </w:rPr>
            </w:pPr>
            <w:r>
              <w:rPr>
                <w:rFonts w:hint="eastAsia" w:ascii="黑体" w:hAnsi="黑体" w:eastAsia="黑体" w:cs="黑体"/>
                <w:color w:val="000000"/>
                <w:kern w:val="0"/>
                <w:sz w:val="24"/>
                <w:szCs w:val="24"/>
                <w:highlight w:val="none"/>
              </w:rPr>
              <w:t>扣分</w:t>
            </w:r>
          </w:p>
          <w:p>
            <w:pPr>
              <w:widowControl/>
              <w:spacing w:line="320" w:lineRule="exact"/>
              <w:ind w:firstLine="0" w:firstLineChars="0"/>
              <w:jc w:val="center"/>
              <w:rPr>
                <w:rFonts w:ascii="黑体" w:hAnsi="黑体" w:eastAsia="黑体" w:cs="黑体"/>
                <w:color w:val="000000"/>
                <w:kern w:val="0"/>
                <w:sz w:val="24"/>
                <w:szCs w:val="24"/>
                <w:highlight w:val="none"/>
              </w:rPr>
            </w:pPr>
            <w:r>
              <w:rPr>
                <w:rFonts w:hint="eastAsia" w:ascii="黑体" w:hAnsi="黑体" w:eastAsia="黑体" w:cs="黑体"/>
                <w:color w:val="000000"/>
                <w:kern w:val="0"/>
                <w:sz w:val="24"/>
                <w:szCs w:val="24"/>
                <w:highlight w:val="none"/>
              </w:rPr>
              <w:t xml:space="preserve">原因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515" w:type="dxa"/>
            <w:vMerge w:val="restart"/>
            <w:noWrap w:val="0"/>
            <w:vAlign w:val="center"/>
          </w:tcPr>
          <w:p>
            <w:pPr>
              <w:widowControl/>
              <w:spacing w:line="320" w:lineRule="exact"/>
              <w:ind w:firstLine="0" w:firstLineChars="0"/>
              <w:jc w:val="center"/>
              <w:rPr>
                <w:rFonts w:hint="eastAsia" w:ascii="黑体" w:hAnsi="黑体" w:eastAsia="黑体" w:cs="黑体"/>
                <w:color w:val="000000"/>
                <w:kern w:val="0"/>
                <w:sz w:val="24"/>
                <w:szCs w:val="24"/>
                <w:highlight w:val="none"/>
              </w:rPr>
            </w:pPr>
            <w:r>
              <w:rPr>
                <w:rFonts w:hint="eastAsia" w:ascii="黑体" w:hAnsi="黑体" w:eastAsia="黑体" w:cs="黑体"/>
                <w:color w:val="000000"/>
                <w:kern w:val="0"/>
                <w:sz w:val="24"/>
                <w:szCs w:val="24"/>
                <w:highlight w:val="none"/>
              </w:rPr>
              <w:t>（一）党总支主体责任落实情况</w:t>
            </w:r>
          </w:p>
          <w:p>
            <w:pPr>
              <w:widowControl/>
              <w:spacing w:line="320" w:lineRule="exact"/>
              <w:ind w:firstLine="0" w:firstLineChars="0"/>
              <w:jc w:val="center"/>
              <w:rPr>
                <w:rFonts w:ascii="仿宋_GB2312" w:hAnsi="仿宋_GB2312" w:cs="仿宋_GB2312"/>
                <w:color w:val="000000"/>
                <w:kern w:val="0"/>
                <w:sz w:val="24"/>
                <w:szCs w:val="24"/>
                <w:highlight w:val="none"/>
              </w:rPr>
            </w:pPr>
            <w:r>
              <w:rPr>
                <w:rFonts w:hint="eastAsia" w:ascii="黑体" w:hAnsi="黑体" w:eastAsia="黑体" w:cs="黑体"/>
                <w:color w:val="000000"/>
                <w:kern w:val="0"/>
                <w:sz w:val="24"/>
                <w:szCs w:val="24"/>
                <w:highlight w:val="none"/>
              </w:rPr>
              <w:t>（40分）</w:t>
            </w:r>
          </w:p>
        </w:tc>
        <w:tc>
          <w:tcPr>
            <w:tcW w:w="765" w:type="dxa"/>
            <w:noWrap w:val="0"/>
            <w:vAlign w:val="center"/>
          </w:tcPr>
          <w:p>
            <w:pPr>
              <w:widowControl/>
              <w:spacing w:before="210" w:after="210" w:line="320" w:lineRule="exact"/>
              <w:ind w:left="210" w:right="210" w:firstLine="0" w:firstLineChars="0"/>
              <w:jc w:val="center"/>
              <w:rPr>
                <w:rFonts w:ascii="仿宋_GB2312" w:hAnsi="仿宋_GB2312" w:cs="仿宋_GB2312"/>
                <w:color w:val="000000"/>
                <w:kern w:val="0"/>
                <w:sz w:val="24"/>
                <w:szCs w:val="24"/>
                <w:highlight w:val="none"/>
              </w:rPr>
            </w:pPr>
            <w:r>
              <w:rPr>
                <w:rFonts w:hint="eastAsia" w:ascii="仿宋_GB2312" w:hAnsi="仿宋_GB2312" w:cs="仿宋_GB2312"/>
                <w:color w:val="000000"/>
                <w:kern w:val="0"/>
                <w:sz w:val="24"/>
                <w:szCs w:val="24"/>
                <w:highlight w:val="none"/>
              </w:rPr>
              <w:t xml:space="preserve">1 </w:t>
            </w:r>
          </w:p>
        </w:tc>
        <w:tc>
          <w:tcPr>
            <w:tcW w:w="9525" w:type="dxa"/>
            <w:noWrap w:val="0"/>
            <w:vAlign w:val="center"/>
          </w:tcPr>
          <w:p>
            <w:pPr>
              <w:widowControl/>
              <w:spacing w:line="320" w:lineRule="exact"/>
              <w:ind w:firstLine="0" w:firstLineChars="0"/>
              <w:rPr>
                <w:rFonts w:ascii="仿宋_GB2312" w:hAnsi="仿宋_GB2312" w:cs="仿宋_GB2312"/>
                <w:color w:val="000000"/>
                <w:kern w:val="0"/>
                <w:sz w:val="24"/>
                <w:szCs w:val="24"/>
                <w:highlight w:val="none"/>
              </w:rPr>
            </w:pPr>
            <w:r>
              <w:rPr>
                <w:rFonts w:hint="eastAsia" w:ascii="仿宋_GB2312" w:hAnsi="仿宋_GB2312" w:cs="仿宋_GB2312"/>
                <w:color w:val="000000"/>
                <w:kern w:val="0"/>
                <w:sz w:val="24"/>
                <w:szCs w:val="24"/>
                <w:highlight w:val="none"/>
              </w:rPr>
              <w:t>全面贯彻落实中央、省委、市委、学校党委关于意识形态工作的决策部署，认真落实《</w:t>
            </w:r>
            <w:r>
              <w:rPr>
                <w:rFonts w:hint="eastAsia" w:ascii="仿宋_GB2312" w:hAnsi="仿宋_GB2312" w:cs="仿宋_GB2312"/>
                <w:color w:val="000000"/>
                <w:kern w:val="0"/>
                <w:sz w:val="24"/>
                <w:szCs w:val="24"/>
                <w:highlight w:val="none"/>
                <w:lang w:eastAsia="zh-CN"/>
              </w:rPr>
              <w:t>管理办法</w:t>
            </w:r>
            <w:r>
              <w:rPr>
                <w:rFonts w:hint="eastAsia" w:ascii="仿宋_GB2312" w:hAnsi="仿宋_GB2312" w:cs="仿宋_GB2312"/>
                <w:color w:val="000000"/>
                <w:kern w:val="0"/>
                <w:sz w:val="24"/>
                <w:szCs w:val="24"/>
                <w:highlight w:val="none"/>
              </w:rPr>
              <w:t xml:space="preserve">》精神，召开专题会议，结合本单位实际出台相应的实施方案，每年开展监督考核；建立健全问责机制，问责方式明确、程序规范。 </w:t>
            </w:r>
          </w:p>
        </w:tc>
        <w:tc>
          <w:tcPr>
            <w:tcW w:w="510" w:type="dxa"/>
            <w:noWrap w:val="0"/>
            <w:vAlign w:val="center"/>
          </w:tcPr>
          <w:p>
            <w:pPr>
              <w:widowControl/>
              <w:spacing w:before="210" w:after="210" w:line="320" w:lineRule="exact"/>
              <w:ind w:firstLine="0" w:firstLineChars="0"/>
              <w:jc w:val="center"/>
              <w:rPr>
                <w:rFonts w:ascii="仿宋_GB2312" w:hAnsi="仿宋_GB2312" w:cs="仿宋_GB2312"/>
                <w:color w:val="000000"/>
                <w:kern w:val="0"/>
                <w:sz w:val="24"/>
                <w:szCs w:val="24"/>
                <w:highlight w:val="none"/>
              </w:rPr>
            </w:pPr>
            <w:r>
              <w:rPr>
                <w:rFonts w:hint="eastAsia" w:ascii="仿宋_GB2312" w:hAnsi="仿宋_GB2312" w:cs="仿宋_GB2312"/>
                <w:color w:val="000000"/>
                <w:kern w:val="0"/>
                <w:sz w:val="24"/>
                <w:szCs w:val="24"/>
                <w:highlight w:val="none"/>
              </w:rPr>
              <w:t>6</w:t>
            </w:r>
          </w:p>
        </w:tc>
        <w:tc>
          <w:tcPr>
            <w:tcW w:w="570" w:type="dxa"/>
            <w:noWrap w:val="0"/>
            <w:vAlign w:val="top"/>
          </w:tcPr>
          <w:p>
            <w:pPr>
              <w:widowControl/>
              <w:spacing w:line="320" w:lineRule="exact"/>
              <w:ind w:firstLine="0" w:firstLineChars="0"/>
              <w:jc w:val="center"/>
              <w:rPr>
                <w:rFonts w:ascii="仿宋_GB2312" w:hAnsi="仿宋_GB2312" w:cs="仿宋_GB2312"/>
                <w:color w:val="000000"/>
                <w:kern w:val="0"/>
                <w:sz w:val="24"/>
                <w:szCs w:val="24"/>
                <w:highlight w:val="none"/>
              </w:rPr>
            </w:pPr>
          </w:p>
        </w:tc>
        <w:tc>
          <w:tcPr>
            <w:tcW w:w="1140" w:type="dxa"/>
            <w:noWrap w:val="0"/>
            <w:vAlign w:val="top"/>
          </w:tcPr>
          <w:p>
            <w:pPr>
              <w:widowControl/>
              <w:spacing w:line="320" w:lineRule="exact"/>
              <w:ind w:firstLine="0" w:firstLineChars="0"/>
              <w:jc w:val="center"/>
              <w:rPr>
                <w:rFonts w:ascii="仿宋_GB2312" w:hAnsi="仿宋_GB2312" w:cs="仿宋_GB2312"/>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trPr>
        <w:tc>
          <w:tcPr>
            <w:tcW w:w="1515" w:type="dxa"/>
            <w:vMerge w:val="continue"/>
            <w:noWrap w:val="0"/>
            <w:vAlign w:val="top"/>
          </w:tcPr>
          <w:p>
            <w:pPr>
              <w:widowControl/>
              <w:spacing w:line="320" w:lineRule="exact"/>
              <w:ind w:firstLine="0" w:firstLineChars="0"/>
              <w:jc w:val="center"/>
              <w:rPr>
                <w:rFonts w:ascii="仿宋_GB2312" w:hAnsi="仿宋_GB2312" w:cs="仿宋_GB2312"/>
                <w:color w:val="000000"/>
                <w:kern w:val="0"/>
                <w:sz w:val="24"/>
                <w:szCs w:val="24"/>
                <w:highlight w:val="none"/>
              </w:rPr>
            </w:pPr>
          </w:p>
        </w:tc>
        <w:tc>
          <w:tcPr>
            <w:tcW w:w="765" w:type="dxa"/>
            <w:noWrap w:val="0"/>
            <w:vAlign w:val="center"/>
          </w:tcPr>
          <w:p>
            <w:pPr>
              <w:widowControl/>
              <w:spacing w:before="210" w:after="210" w:line="320" w:lineRule="exact"/>
              <w:ind w:left="210" w:right="210" w:firstLine="0" w:firstLineChars="0"/>
              <w:jc w:val="center"/>
              <w:rPr>
                <w:rFonts w:ascii="仿宋_GB2312" w:hAnsi="仿宋_GB2312" w:cs="仿宋_GB2312"/>
                <w:color w:val="000000"/>
                <w:kern w:val="0"/>
                <w:sz w:val="24"/>
                <w:szCs w:val="24"/>
                <w:highlight w:val="none"/>
              </w:rPr>
            </w:pPr>
            <w:r>
              <w:rPr>
                <w:rFonts w:hint="eastAsia" w:ascii="仿宋_GB2312" w:hAnsi="仿宋_GB2312" w:cs="仿宋_GB2312"/>
                <w:color w:val="000000"/>
                <w:kern w:val="0"/>
                <w:sz w:val="24"/>
                <w:szCs w:val="24"/>
                <w:highlight w:val="none"/>
              </w:rPr>
              <w:t xml:space="preserve">2 </w:t>
            </w:r>
          </w:p>
        </w:tc>
        <w:tc>
          <w:tcPr>
            <w:tcW w:w="9525" w:type="dxa"/>
            <w:noWrap w:val="0"/>
            <w:vAlign w:val="center"/>
          </w:tcPr>
          <w:p>
            <w:pPr>
              <w:widowControl/>
              <w:spacing w:line="320" w:lineRule="exact"/>
              <w:ind w:firstLine="0" w:firstLineChars="0"/>
              <w:rPr>
                <w:rFonts w:ascii="仿宋_GB2312" w:hAnsi="仿宋_GB2312" w:cs="仿宋_GB2312"/>
                <w:color w:val="000000"/>
                <w:kern w:val="0"/>
                <w:sz w:val="24"/>
                <w:szCs w:val="24"/>
                <w:highlight w:val="none"/>
              </w:rPr>
            </w:pPr>
            <w:r>
              <w:rPr>
                <w:rFonts w:hint="eastAsia" w:ascii="仿宋_GB2312" w:hAnsi="仿宋_GB2312" w:cs="仿宋_GB2312"/>
                <w:color w:val="000000"/>
                <w:kern w:val="0"/>
                <w:sz w:val="24"/>
                <w:szCs w:val="24"/>
                <w:highlight w:val="none"/>
              </w:rPr>
              <w:t>把意识形态工作作为党的建设的重要内容，摆上全局工作的重要位置，纳入重要议事日程，纳入党建工作责任制，纳入党的纪律监督检查范围，写入部门</w:t>
            </w:r>
            <w:r>
              <w:rPr>
                <w:rFonts w:hint="eastAsia" w:ascii="仿宋_GB2312" w:hAnsi="仿宋_GB2312" w:cs="仿宋_GB2312"/>
                <w:color w:val="000000"/>
                <w:kern w:val="0"/>
                <w:sz w:val="24"/>
                <w:szCs w:val="24"/>
                <w:highlight w:val="none"/>
                <w:lang w:eastAsia="zh-CN"/>
              </w:rPr>
              <w:t>目标</w:t>
            </w:r>
            <w:r>
              <w:rPr>
                <w:rFonts w:hint="eastAsia" w:ascii="仿宋_GB2312" w:hAnsi="仿宋_GB2312" w:cs="仿宋_GB2312"/>
                <w:color w:val="000000"/>
                <w:kern w:val="0"/>
                <w:sz w:val="24"/>
                <w:szCs w:val="24"/>
                <w:highlight w:val="none"/>
              </w:rPr>
              <w:t xml:space="preserve">责任书。具体包括：把落实党中央、上级党委关于意识形态工作决策部署情况，纳入执行党的纪律尤其是政治纪律和政治规矩的监督检查范围；把意识形态工作情况列入干部年度考核的重要内容，作为评价使用或奖惩的重要依据；把意识形态工作作为绩效考核的重要内容，各党总支书记要把意识形态工作作为民主生活会和述职报告的重要内容，接受监督和评议。 </w:t>
            </w:r>
          </w:p>
        </w:tc>
        <w:tc>
          <w:tcPr>
            <w:tcW w:w="510" w:type="dxa"/>
            <w:noWrap w:val="0"/>
            <w:vAlign w:val="center"/>
          </w:tcPr>
          <w:p>
            <w:pPr>
              <w:widowControl/>
              <w:spacing w:line="320" w:lineRule="exact"/>
              <w:ind w:firstLine="0" w:firstLineChars="0"/>
              <w:jc w:val="center"/>
              <w:rPr>
                <w:rFonts w:ascii="仿宋_GB2312" w:hAnsi="仿宋_GB2312" w:cs="仿宋_GB2312"/>
                <w:color w:val="000000"/>
                <w:kern w:val="0"/>
                <w:sz w:val="24"/>
                <w:szCs w:val="24"/>
                <w:highlight w:val="none"/>
              </w:rPr>
            </w:pPr>
            <w:r>
              <w:rPr>
                <w:rFonts w:hint="eastAsia" w:ascii="仿宋_GB2312" w:hAnsi="仿宋_GB2312" w:cs="仿宋_GB2312"/>
                <w:color w:val="000000"/>
                <w:kern w:val="0"/>
                <w:sz w:val="24"/>
                <w:szCs w:val="24"/>
                <w:highlight w:val="none"/>
              </w:rPr>
              <w:t>12</w:t>
            </w:r>
          </w:p>
        </w:tc>
        <w:tc>
          <w:tcPr>
            <w:tcW w:w="570" w:type="dxa"/>
            <w:noWrap w:val="0"/>
            <w:vAlign w:val="top"/>
          </w:tcPr>
          <w:p>
            <w:pPr>
              <w:widowControl/>
              <w:spacing w:line="320" w:lineRule="exact"/>
              <w:ind w:firstLine="0" w:firstLineChars="0"/>
              <w:jc w:val="center"/>
              <w:rPr>
                <w:rFonts w:ascii="仿宋_GB2312" w:hAnsi="仿宋_GB2312" w:cs="仿宋_GB2312"/>
                <w:color w:val="000000"/>
                <w:kern w:val="0"/>
                <w:sz w:val="24"/>
                <w:szCs w:val="24"/>
                <w:highlight w:val="none"/>
              </w:rPr>
            </w:pPr>
          </w:p>
        </w:tc>
        <w:tc>
          <w:tcPr>
            <w:tcW w:w="1140" w:type="dxa"/>
            <w:noWrap w:val="0"/>
            <w:vAlign w:val="top"/>
          </w:tcPr>
          <w:p>
            <w:pPr>
              <w:widowControl/>
              <w:spacing w:line="320" w:lineRule="exact"/>
              <w:ind w:firstLine="0" w:firstLineChars="0"/>
              <w:jc w:val="center"/>
              <w:rPr>
                <w:rFonts w:ascii="仿宋_GB2312" w:hAnsi="仿宋_GB2312" w:cs="仿宋_GB2312"/>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515" w:type="dxa"/>
            <w:vMerge w:val="continue"/>
            <w:noWrap w:val="0"/>
            <w:vAlign w:val="top"/>
          </w:tcPr>
          <w:p>
            <w:pPr>
              <w:widowControl/>
              <w:spacing w:line="320" w:lineRule="exact"/>
              <w:ind w:firstLine="0" w:firstLineChars="0"/>
              <w:jc w:val="center"/>
              <w:rPr>
                <w:rFonts w:ascii="仿宋_GB2312" w:hAnsi="仿宋_GB2312" w:cs="仿宋_GB2312"/>
                <w:color w:val="000000"/>
                <w:kern w:val="0"/>
                <w:sz w:val="24"/>
                <w:szCs w:val="24"/>
                <w:highlight w:val="none"/>
              </w:rPr>
            </w:pPr>
          </w:p>
        </w:tc>
        <w:tc>
          <w:tcPr>
            <w:tcW w:w="765" w:type="dxa"/>
            <w:noWrap w:val="0"/>
            <w:vAlign w:val="center"/>
          </w:tcPr>
          <w:p>
            <w:pPr>
              <w:widowControl/>
              <w:spacing w:before="210" w:after="210" w:line="320" w:lineRule="exact"/>
              <w:ind w:left="210" w:right="210" w:firstLine="0" w:firstLineChars="0"/>
              <w:jc w:val="center"/>
              <w:rPr>
                <w:rFonts w:ascii="仿宋_GB2312" w:hAnsi="仿宋_GB2312" w:cs="仿宋_GB2312"/>
                <w:color w:val="000000"/>
                <w:kern w:val="0"/>
                <w:sz w:val="24"/>
                <w:szCs w:val="24"/>
                <w:highlight w:val="none"/>
              </w:rPr>
            </w:pPr>
            <w:r>
              <w:rPr>
                <w:rFonts w:hint="eastAsia" w:ascii="仿宋_GB2312" w:hAnsi="仿宋_GB2312" w:cs="仿宋_GB2312"/>
                <w:color w:val="000000"/>
                <w:kern w:val="0"/>
                <w:sz w:val="24"/>
                <w:szCs w:val="24"/>
                <w:highlight w:val="none"/>
              </w:rPr>
              <w:t xml:space="preserve">3 </w:t>
            </w:r>
          </w:p>
        </w:tc>
        <w:tc>
          <w:tcPr>
            <w:tcW w:w="9525" w:type="dxa"/>
            <w:noWrap w:val="0"/>
            <w:vAlign w:val="center"/>
          </w:tcPr>
          <w:p>
            <w:pPr>
              <w:widowControl/>
              <w:spacing w:line="320" w:lineRule="exact"/>
              <w:ind w:firstLine="0" w:firstLineChars="0"/>
              <w:rPr>
                <w:rFonts w:ascii="仿宋_GB2312" w:hAnsi="仿宋_GB2312" w:cs="仿宋_GB2312"/>
                <w:color w:val="000000"/>
                <w:kern w:val="0"/>
                <w:sz w:val="24"/>
                <w:szCs w:val="24"/>
                <w:highlight w:val="none"/>
              </w:rPr>
            </w:pPr>
            <w:r>
              <w:rPr>
                <w:rFonts w:hint="eastAsia" w:ascii="仿宋_GB2312" w:hAnsi="仿宋_GB2312" w:cs="仿宋_GB2312"/>
                <w:color w:val="000000"/>
                <w:kern w:val="0"/>
                <w:sz w:val="24"/>
                <w:szCs w:val="24"/>
                <w:highlight w:val="none"/>
              </w:rPr>
              <w:t xml:space="preserve">建立健全意识形态工作分析研判机制，各党总支全年专题研究或部署意识形态工作不少于2次；建立舆情风险评估机制，重大决策部署出台前进行全面舆情风险评估，制定舆情应对预案。 </w:t>
            </w:r>
          </w:p>
        </w:tc>
        <w:tc>
          <w:tcPr>
            <w:tcW w:w="510" w:type="dxa"/>
            <w:noWrap w:val="0"/>
            <w:vAlign w:val="center"/>
          </w:tcPr>
          <w:p>
            <w:pPr>
              <w:widowControl/>
              <w:spacing w:before="210" w:after="210" w:line="320" w:lineRule="exact"/>
              <w:ind w:firstLine="0" w:firstLineChars="0"/>
              <w:jc w:val="center"/>
              <w:rPr>
                <w:rFonts w:ascii="仿宋_GB2312" w:hAnsi="仿宋_GB2312" w:cs="仿宋_GB2312"/>
                <w:color w:val="000000"/>
                <w:kern w:val="0"/>
                <w:sz w:val="24"/>
                <w:szCs w:val="24"/>
                <w:highlight w:val="none"/>
              </w:rPr>
            </w:pPr>
            <w:r>
              <w:rPr>
                <w:rFonts w:hint="eastAsia" w:ascii="仿宋_GB2312" w:hAnsi="仿宋_GB2312" w:cs="仿宋_GB2312"/>
                <w:color w:val="000000"/>
                <w:kern w:val="0"/>
                <w:sz w:val="24"/>
                <w:szCs w:val="24"/>
                <w:highlight w:val="none"/>
              </w:rPr>
              <w:t>4</w:t>
            </w:r>
          </w:p>
        </w:tc>
        <w:tc>
          <w:tcPr>
            <w:tcW w:w="570" w:type="dxa"/>
            <w:noWrap w:val="0"/>
            <w:vAlign w:val="top"/>
          </w:tcPr>
          <w:p>
            <w:pPr>
              <w:widowControl/>
              <w:spacing w:line="320" w:lineRule="exact"/>
              <w:ind w:firstLine="0" w:firstLineChars="0"/>
              <w:jc w:val="center"/>
              <w:rPr>
                <w:rFonts w:ascii="仿宋_GB2312" w:hAnsi="仿宋_GB2312" w:cs="仿宋_GB2312"/>
                <w:color w:val="000000"/>
                <w:kern w:val="0"/>
                <w:sz w:val="24"/>
                <w:szCs w:val="24"/>
                <w:highlight w:val="none"/>
              </w:rPr>
            </w:pPr>
          </w:p>
        </w:tc>
        <w:tc>
          <w:tcPr>
            <w:tcW w:w="1140" w:type="dxa"/>
            <w:noWrap w:val="0"/>
            <w:vAlign w:val="top"/>
          </w:tcPr>
          <w:p>
            <w:pPr>
              <w:widowControl/>
              <w:spacing w:line="320" w:lineRule="exact"/>
              <w:ind w:firstLine="0" w:firstLineChars="0"/>
              <w:jc w:val="center"/>
              <w:rPr>
                <w:rFonts w:ascii="仿宋_GB2312" w:hAnsi="仿宋_GB2312" w:cs="仿宋_GB2312"/>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1515" w:type="dxa"/>
            <w:vMerge w:val="continue"/>
            <w:noWrap w:val="0"/>
            <w:vAlign w:val="center"/>
          </w:tcPr>
          <w:p>
            <w:pPr>
              <w:widowControl/>
              <w:spacing w:line="320" w:lineRule="exact"/>
              <w:ind w:firstLine="0" w:firstLineChars="0"/>
              <w:jc w:val="center"/>
              <w:rPr>
                <w:rFonts w:ascii="仿宋_GB2312" w:hAnsi="仿宋_GB2312" w:cs="仿宋_GB2312"/>
                <w:color w:val="000000"/>
                <w:kern w:val="0"/>
                <w:sz w:val="24"/>
                <w:szCs w:val="24"/>
                <w:highlight w:val="none"/>
              </w:rPr>
            </w:pPr>
          </w:p>
        </w:tc>
        <w:tc>
          <w:tcPr>
            <w:tcW w:w="765" w:type="dxa"/>
            <w:noWrap w:val="0"/>
            <w:vAlign w:val="center"/>
          </w:tcPr>
          <w:p>
            <w:pPr>
              <w:widowControl/>
              <w:spacing w:before="210" w:after="210" w:line="320" w:lineRule="exact"/>
              <w:ind w:left="210" w:right="210" w:firstLine="0" w:firstLineChars="0"/>
              <w:jc w:val="center"/>
              <w:rPr>
                <w:rFonts w:ascii="仿宋_GB2312" w:hAnsi="仿宋_GB2312" w:cs="仿宋_GB2312"/>
                <w:color w:val="000000"/>
                <w:kern w:val="0"/>
                <w:sz w:val="24"/>
                <w:szCs w:val="24"/>
                <w:highlight w:val="none"/>
              </w:rPr>
            </w:pPr>
            <w:r>
              <w:rPr>
                <w:rFonts w:hint="eastAsia" w:ascii="仿宋_GB2312" w:hAnsi="仿宋_GB2312" w:cs="仿宋_GB2312"/>
                <w:color w:val="000000"/>
                <w:kern w:val="0"/>
                <w:sz w:val="24"/>
                <w:szCs w:val="24"/>
                <w:highlight w:val="none"/>
              </w:rPr>
              <w:t xml:space="preserve">4 </w:t>
            </w:r>
          </w:p>
        </w:tc>
        <w:tc>
          <w:tcPr>
            <w:tcW w:w="9525" w:type="dxa"/>
            <w:noWrap w:val="0"/>
            <w:vAlign w:val="center"/>
          </w:tcPr>
          <w:p>
            <w:pPr>
              <w:widowControl/>
              <w:spacing w:line="320" w:lineRule="exact"/>
              <w:ind w:firstLine="0" w:firstLineChars="0"/>
              <w:rPr>
                <w:rFonts w:ascii="仿宋_GB2312" w:hAnsi="仿宋_GB2312" w:cs="仿宋_GB2312"/>
                <w:color w:val="000000"/>
                <w:kern w:val="0"/>
                <w:sz w:val="24"/>
                <w:szCs w:val="24"/>
                <w:highlight w:val="none"/>
              </w:rPr>
            </w:pPr>
            <w:r>
              <w:rPr>
                <w:rFonts w:hint="eastAsia" w:ascii="仿宋_GB2312" w:hAnsi="仿宋_GB2312" w:cs="仿宋_GB2312"/>
                <w:color w:val="000000"/>
                <w:kern w:val="0"/>
                <w:sz w:val="24"/>
                <w:szCs w:val="24"/>
                <w:highlight w:val="none"/>
              </w:rPr>
              <w:t xml:space="preserve">建立健全意识形态工作主体责任报告制度，每半年向校党委专题汇报一次意识形态工作；定期向党内通报、传达意识形态领域情况，及时将意识形态领域的重大情况向校党委报告并提出建设性意见；对本单位意识形态领域出现的重要动向和问题及时在党员干部中进行内部通报。 </w:t>
            </w:r>
          </w:p>
        </w:tc>
        <w:tc>
          <w:tcPr>
            <w:tcW w:w="510" w:type="dxa"/>
            <w:noWrap w:val="0"/>
            <w:vAlign w:val="center"/>
          </w:tcPr>
          <w:p>
            <w:pPr>
              <w:widowControl/>
              <w:spacing w:before="210" w:after="210" w:line="320" w:lineRule="exact"/>
              <w:ind w:firstLine="0" w:firstLineChars="0"/>
              <w:jc w:val="center"/>
              <w:rPr>
                <w:rFonts w:ascii="仿宋_GB2312" w:hAnsi="仿宋_GB2312" w:cs="仿宋_GB2312"/>
                <w:color w:val="000000"/>
                <w:kern w:val="0"/>
                <w:sz w:val="24"/>
                <w:szCs w:val="24"/>
                <w:highlight w:val="none"/>
              </w:rPr>
            </w:pPr>
            <w:r>
              <w:rPr>
                <w:rFonts w:hint="eastAsia" w:ascii="仿宋_GB2312" w:hAnsi="仿宋_GB2312" w:cs="仿宋_GB2312"/>
                <w:color w:val="000000"/>
                <w:kern w:val="0"/>
                <w:sz w:val="24"/>
                <w:szCs w:val="24"/>
                <w:highlight w:val="none"/>
              </w:rPr>
              <w:t>4</w:t>
            </w:r>
          </w:p>
        </w:tc>
        <w:tc>
          <w:tcPr>
            <w:tcW w:w="570" w:type="dxa"/>
            <w:noWrap w:val="0"/>
            <w:vAlign w:val="top"/>
          </w:tcPr>
          <w:p>
            <w:pPr>
              <w:widowControl/>
              <w:spacing w:line="320" w:lineRule="exact"/>
              <w:ind w:firstLine="0" w:firstLineChars="0"/>
              <w:jc w:val="center"/>
              <w:rPr>
                <w:rFonts w:ascii="仿宋_GB2312" w:hAnsi="仿宋_GB2312" w:cs="仿宋_GB2312"/>
                <w:color w:val="000000"/>
                <w:kern w:val="0"/>
                <w:sz w:val="24"/>
                <w:szCs w:val="24"/>
                <w:highlight w:val="none"/>
              </w:rPr>
            </w:pPr>
          </w:p>
        </w:tc>
        <w:tc>
          <w:tcPr>
            <w:tcW w:w="1140" w:type="dxa"/>
            <w:noWrap w:val="0"/>
            <w:vAlign w:val="top"/>
          </w:tcPr>
          <w:p>
            <w:pPr>
              <w:widowControl/>
              <w:spacing w:line="320" w:lineRule="exact"/>
              <w:ind w:firstLine="0" w:firstLineChars="0"/>
              <w:jc w:val="center"/>
              <w:rPr>
                <w:rFonts w:ascii="仿宋_GB2312" w:hAnsi="仿宋_GB2312" w:cs="仿宋_GB2312"/>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515" w:type="dxa"/>
            <w:vMerge w:val="continue"/>
            <w:noWrap w:val="0"/>
            <w:vAlign w:val="top"/>
          </w:tcPr>
          <w:p>
            <w:pPr>
              <w:widowControl/>
              <w:spacing w:line="320" w:lineRule="exact"/>
              <w:ind w:firstLine="0" w:firstLineChars="0"/>
              <w:jc w:val="center"/>
              <w:rPr>
                <w:rFonts w:ascii="仿宋_GB2312" w:hAnsi="仿宋_GB2312" w:cs="仿宋_GB2312"/>
                <w:color w:val="000000"/>
                <w:kern w:val="0"/>
                <w:sz w:val="24"/>
                <w:szCs w:val="24"/>
                <w:highlight w:val="none"/>
              </w:rPr>
            </w:pPr>
          </w:p>
        </w:tc>
        <w:tc>
          <w:tcPr>
            <w:tcW w:w="765" w:type="dxa"/>
            <w:noWrap w:val="0"/>
            <w:vAlign w:val="center"/>
          </w:tcPr>
          <w:p>
            <w:pPr>
              <w:widowControl/>
              <w:spacing w:before="210" w:after="210" w:line="320" w:lineRule="exact"/>
              <w:ind w:left="210" w:right="210" w:firstLine="0" w:firstLineChars="0"/>
              <w:jc w:val="center"/>
              <w:rPr>
                <w:rFonts w:ascii="仿宋_GB2312" w:hAnsi="仿宋_GB2312" w:cs="仿宋_GB2312"/>
                <w:color w:val="000000"/>
                <w:kern w:val="0"/>
                <w:sz w:val="24"/>
                <w:szCs w:val="24"/>
                <w:highlight w:val="none"/>
              </w:rPr>
            </w:pPr>
            <w:r>
              <w:rPr>
                <w:rFonts w:hint="eastAsia" w:ascii="仿宋_GB2312" w:hAnsi="仿宋_GB2312" w:cs="仿宋_GB2312"/>
                <w:color w:val="000000"/>
                <w:kern w:val="0"/>
                <w:sz w:val="24"/>
                <w:szCs w:val="24"/>
                <w:highlight w:val="none"/>
              </w:rPr>
              <w:t xml:space="preserve">5 </w:t>
            </w:r>
          </w:p>
        </w:tc>
        <w:tc>
          <w:tcPr>
            <w:tcW w:w="9525" w:type="dxa"/>
            <w:noWrap w:val="0"/>
            <w:vAlign w:val="center"/>
          </w:tcPr>
          <w:p>
            <w:pPr>
              <w:widowControl/>
              <w:spacing w:line="320" w:lineRule="exact"/>
              <w:ind w:firstLine="0" w:firstLineChars="0"/>
              <w:rPr>
                <w:rFonts w:ascii="仿宋_GB2312" w:hAnsi="仿宋_GB2312" w:cs="仿宋_GB2312"/>
                <w:color w:val="000000"/>
                <w:kern w:val="0"/>
                <w:sz w:val="24"/>
                <w:szCs w:val="24"/>
                <w:highlight w:val="none"/>
              </w:rPr>
            </w:pPr>
            <w:r>
              <w:rPr>
                <w:rFonts w:hint="eastAsia" w:ascii="仿宋_GB2312" w:hAnsi="仿宋_GB2312" w:cs="仿宋_GB2312"/>
                <w:color w:val="000000"/>
                <w:kern w:val="0"/>
                <w:sz w:val="24"/>
                <w:szCs w:val="24"/>
                <w:highlight w:val="none"/>
              </w:rPr>
              <w:t xml:space="preserve">加强对意识形态工作的统一领导，建立意识形态工作领导小组，明确职责，发挥作用；选优配强宣传思想文化干部队伍；加强本单位宣传思想文化干部队伍建设。 </w:t>
            </w:r>
          </w:p>
        </w:tc>
        <w:tc>
          <w:tcPr>
            <w:tcW w:w="510" w:type="dxa"/>
            <w:noWrap w:val="0"/>
            <w:vAlign w:val="center"/>
          </w:tcPr>
          <w:p>
            <w:pPr>
              <w:widowControl/>
              <w:spacing w:before="210" w:after="210" w:line="320" w:lineRule="exact"/>
              <w:ind w:firstLine="0" w:firstLineChars="0"/>
              <w:jc w:val="center"/>
              <w:rPr>
                <w:rFonts w:ascii="仿宋_GB2312" w:hAnsi="仿宋_GB2312" w:cs="仿宋_GB2312"/>
                <w:color w:val="000000"/>
                <w:kern w:val="0"/>
                <w:sz w:val="24"/>
                <w:szCs w:val="24"/>
                <w:highlight w:val="none"/>
              </w:rPr>
            </w:pPr>
            <w:r>
              <w:rPr>
                <w:rFonts w:hint="eastAsia" w:ascii="仿宋_GB2312" w:hAnsi="仿宋_GB2312" w:cs="仿宋_GB2312"/>
                <w:color w:val="000000"/>
                <w:kern w:val="0"/>
                <w:sz w:val="24"/>
                <w:szCs w:val="24"/>
                <w:highlight w:val="none"/>
              </w:rPr>
              <w:t>6</w:t>
            </w:r>
          </w:p>
        </w:tc>
        <w:tc>
          <w:tcPr>
            <w:tcW w:w="570" w:type="dxa"/>
            <w:noWrap w:val="0"/>
            <w:vAlign w:val="top"/>
          </w:tcPr>
          <w:p>
            <w:pPr>
              <w:widowControl/>
              <w:spacing w:line="320" w:lineRule="exact"/>
              <w:ind w:firstLine="0" w:firstLineChars="0"/>
              <w:jc w:val="center"/>
              <w:rPr>
                <w:rFonts w:ascii="仿宋_GB2312" w:hAnsi="仿宋_GB2312" w:cs="仿宋_GB2312"/>
                <w:color w:val="000000"/>
                <w:kern w:val="0"/>
                <w:sz w:val="24"/>
                <w:szCs w:val="24"/>
                <w:highlight w:val="none"/>
              </w:rPr>
            </w:pPr>
          </w:p>
        </w:tc>
        <w:tc>
          <w:tcPr>
            <w:tcW w:w="1140" w:type="dxa"/>
            <w:noWrap w:val="0"/>
            <w:vAlign w:val="top"/>
          </w:tcPr>
          <w:p>
            <w:pPr>
              <w:widowControl/>
              <w:spacing w:line="320" w:lineRule="exact"/>
              <w:ind w:firstLine="0" w:firstLineChars="0"/>
              <w:jc w:val="center"/>
              <w:rPr>
                <w:rFonts w:ascii="仿宋_GB2312" w:hAnsi="仿宋_GB2312" w:cs="仿宋_GB2312"/>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noWrap w:val="0"/>
            <w:vAlign w:val="top"/>
          </w:tcPr>
          <w:p>
            <w:pPr>
              <w:widowControl/>
              <w:spacing w:line="320" w:lineRule="exact"/>
              <w:ind w:firstLine="0" w:firstLineChars="0"/>
              <w:jc w:val="center"/>
              <w:rPr>
                <w:rFonts w:ascii="仿宋_GB2312" w:hAnsi="仿宋_GB2312" w:cs="仿宋_GB2312"/>
                <w:color w:val="000000"/>
                <w:kern w:val="0"/>
                <w:sz w:val="24"/>
                <w:szCs w:val="24"/>
                <w:highlight w:val="none"/>
              </w:rPr>
            </w:pPr>
          </w:p>
        </w:tc>
        <w:tc>
          <w:tcPr>
            <w:tcW w:w="765" w:type="dxa"/>
            <w:noWrap w:val="0"/>
            <w:vAlign w:val="center"/>
          </w:tcPr>
          <w:p>
            <w:pPr>
              <w:widowControl/>
              <w:spacing w:before="210" w:after="210" w:line="320" w:lineRule="exact"/>
              <w:ind w:left="210" w:right="210" w:firstLine="0" w:firstLineChars="0"/>
              <w:jc w:val="center"/>
              <w:rPr>
                <w:rFonts w:ascii="仿宋_GB2312" w:hAnsi="仿宋_GB2312" w:cs="仿宋_GB2312"/>
                <w:color w:val="000000"/>
                <w:kern w:val="0"/>
                <w:sz w:val="24"/>
                <w:szCs w:val="24"/>
                <w:highlight w:val="none"/>
              </w:rPr>
            </w:pPr>
            <w:r>
              <w:rPr>
                <w:rFonts w:hint="eastAsia" w:ascii="仿宋_GB2312" w:hAnsi="仿宋_GB2312" w:cs="仿宋_GB2312"/>
                <w:color w:val="000000"/>
                <w:kern w:val="0"/>
                <w:sz w:val="24"/>
                <w:szCs w:val="24"/>
                <w:highlight w:val="none"/>
              </w:rPr>
              <w:t xml:space="preserve">6 </w:t>
            </w:r>
          </w:p>
        </w:tc>
        <w:tc>
          <w:tcPr>
            <w:tcW w:w="9525" w:type="dxa"/>
            <w:noWrap w:val="0"/>
            <w:vAlign w:val="center"/>
          </w:tcPr>
          <w:p>
            <w:pPr>
              <w:widowControl/>
              <w:spacing w:line="320" w:lineRule="exact"/>
              <w:ind w:firstLine="0" w:firstLineChars="0"/>
              <w:rPr>
                <w:rFonts w:ascii="仿宋_GB2312" w:hAnsi="仿宋_GB2312" w:cs="仿宋_GB2312"/>
                <w:color w:val="000000"/>
                <w:kern w:val="0"/>
                <w:sz w:val="24"/>
                <w:szCs w:val="24"/>
                <w:highlight w:val="none"/>
              </w:rPr>
            </w:pPr>
            <w:r>
              <w:rPr>
                <w:rFonts w:hint="eastAsia" w:ascii="仿宋_GB2312" w:hAnsi="仿宋_GB2312" w:cs="仿宋_GB2312"/>
                <w:color w:val="000000"/>
                <w:kern w:val="0"/>
                <w:sz w:val="24"/>
                <w:szCs w:val="24"/>
                <w:highlight w:val="none"/>
              </w:rPr>
              <w:t xml:space="preserve">加强对各类意识形态阵地管理，抓好师生思想、新闻舆论、文化文艺、网络、宗教思想等意识形态阵地管理，意识形态工作制度健全，台账清晰，管理规范。 </w:t>
            </w:r>
          </w:p>
        </w:tc>
        <w:tc>
          <w:tcPr>
            <w:tcW w:w="510" w:type="dxa"/>
            <w:noWrap w:val="0"/>
            <w:vAlign w:val="center"/>
          </w:tcPr>
          <w:p>
            <w:pPr>
              <w:widowControl/>
              <w:spacing w:before="210" w:after="210" w:line="320" w:lineRule="exact"/>
              <w:ind w:firstLine="0" w:firstLineChars="0"/>
              <w:jc w:val="center"/>
              <w:rPr>
                <w:rFonts w:ascii="仿宋_GB2312" w:hAnsi="仿宋_GB2312" w:cs="仿宋_GB2312"/>
                <w:color w:val="000000"/>
                <w:kern w:val="0"/>
                <w:sz w:val="24"/>
                <w:szCs w:val="24"/>
                <w:highlight w:val="none"/>
              </w:rPr>
            </w:pPr>
            <w:r>
              <w:rPr>
                <w:rFonts w:hint="eastAsia" w:ascii="仿宋_GB2312" w:hAnsi="仿宋_GB2312" w:cs="仿宋_GB2312"/>
                <w:color w:val="000000"/>
                <w:kern w:val="0"/>
                <w:sz w:val="24"/>
                <w:szCs w:val="24"/>
                <w:highlight w:val="none"/>
              </w:rPr>
              <w:t>8</w:t>
            </w:r>
          </w:p>
        </w:tc>
        <w:tc>
          <w:tcPr>
            <w:tcW w:w="570" w:type="dxa"/>
            <w:noWrap w:val="0"/>
            <w:vAlign w:val="top"/>
          </w:tcPr>
          <w:p>
            <w:pPr>
              <w:widowControl/>
              <w:spacing w:line="320" w:lineRule="exact"/>
              <w:ind w:firstLine="0" w:firstLineChars="0"/>
              <w:jc w:val="center"/>
              <w:rPr>
                <w:rFonts w:ascii="仿宋_GB2312" w:hAnsi="仿宋_GB2312" w:cs="仿宋_GB2312"/>
                <w:color w:val="000000"/>
                <w:kern w:val="0"/>
                <w:sz w:val="24"/>
                <w:szCs w:val="24"/>
                <w:highlight w:val="none"/>
              </w:rPr>
            </w:pPr>
          </w:p>
        </w:tc>
        <w:tc>
          <w:tcPr>
            <w:tcW w:w="1140" w:type="dxa"/>
            <w:noWrap w:val="0"/>
            <w:vAlign w:val="top"/>
          </w:tcPr>
          <w:p>
            <w:pPr>
              <w:widowControl/>
              <w:spacing w:line="320" w:lineRule="exact"/>
              <w:ind w:firstLine="0" w:firstLineChars="0"/>
              <w:jc w:val="center"/>
              <w:rPr>
                <w:rFonts w:ascii="仿宋_GB2312" w:hAnsi="仿宋_GB2312" w:cs="仿宋_GB2312"/>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515" w:type="dxa"/>
            <w:vMerge w:val="restart"/>
            <w:noWrap w:val="0"/>
            <w:vAlign w:val="center"/>
          </w:tcPr>
          <w:p>
            <w:pPr>
              <w:widowControl/>
              <w:spacing w:line="320" w:lineRule="exact"/>
              <w:ind w:firstLine="0" w:firstLineChars="0"/>
              <w:jc w:val="center"/>
              <w:rPr>
                <w:rFonts w:ascii="黑体" w:hAnsi="黑体" w:eastAsia="黑体" w:cs="黑体"/>
                <w:color w:val="000000"/>
                <w:kern w:val="0"/>
                <w:sz w:val="24"/>
                <w:szCs w:val="24"/>
                <w:highlight w:val="none"/>
              </w:rPr>
            </w:pPr>
            <w:r>
              <w:rPr>
                <w:rFonts w:hint="eastAsia" w:ascii="黑体" w:hAnsi="黑体" w:eastAsia="黑体" w:cs="黑体"/>
                <w:color w:val="000000"/>
                <w:kern w:val="0"/>
                <w:sz w:val="24"/>
                <w:szCs w:val="24"/>
                <w:highlight w:val="none"/>
              </w:rPr>
              <w:t>（二）第一责任人责任落实情况</w:t>
            </w:r>
          </w:p>
          <w:p>
            <w:pPr>
              <w:widowControl/>
              <w:spacing w:line="320" w:lineRule="exact"/>
              <w:ind w:firstLine="0" w:firstLineChars="0"/>
              <w:jc w:val="center"/>
              <w:rPr>
                <w:rFonts w:ascii="仿宋_GB2312" w:hAnsi="仿宋_GB2312" w:cs="仿宋_GB2312"/>
                <w:color w:val="000000"/>
                <w:kern w:val="0"/>
                <w:sz w:val="24"/>
                <w:szCs w:val="24"/>
                <w:highlight w:val="none"/>
              </w:rPr>
            </w:pPr>
            <w:r>
              <w:rPr>
                <w:rFonts w:hint="eastAsia" w:ascii="黑体" w:hAnsi="黑体" w:eastAsia="黑体" w:cs="黑体"/>
                <w:color w:val="000000"/>
                <w:kern w:val="0"/>
                <w:sz w:val="24"/>
                <w:szCs w:val="24"/>
                <w:highlight w:val="none"/>
              </w:rPr>
              <w:t>（25分）</w:t>
            </w:r>
          </w:p>
        </w:tc>
        <w:tc>
          <w:tcPr>
            <w:tcW w:w="765" w:type="dxa"/>
            <w:noWrap w:val="0"/>
            <w:vAlign w:val="center"/>
          </w:tcPr>
          <w:p>
            <w:pPr>
              <w:widowControl/>
              <w:spacing w:before="210" w:after="210" w:line="520" w:lineRule="exact"/>
              <w:ind w:firstLine="0" w:firstLineChars="0"/>
              <w:jc w:val="center"/>
              <w:rPr>
                <w:rFonts w:ascii="仿宋_GB2312" w:hAnsi="仿宋_GB2312" w:cs="仿宋_GB2312"/>
                <w:color w:val="000000"/>
                <w:kern w:val="0"/>
                <w:sz w:val="24"/>
                <w:szCs w:val="24"/>
                <w:highlight w:val="none"/>
              </w:rPr>
            </w:pPr>
            <w:r>
              <w:rPr>
                <w:rFonts w:hint="eastAsia" w:ascii="仿宋_GB2312" w:hAnsi="仿宋_GB2312" w:cs="仿宋_GB2312"/>
                <w:color w:val="000000"/>
                <w:kern w:val="0"/>
                <w:sz w:val="24"/>
                <w:szCs w:val="24"/>
                <w:highlight w:val="none"/>
              </w:rPr>
              <w:t>7</w:t>
            </w:r>
          </w:p>
        </w:tc>
        <w:tc>
          <w:tcPr>
            <w:tcW w:w="9525" w:type="dxa"/>
            <w:noWrap w:val="0"/>
            <w:vAlign w:val="center"/>
          </w:tcPr>
          <w:p>
            <w:pPr>
              <w:widowControl/>
              <w:spacing w:line="320" w:lineRule="exact"/>
              <w:ind w:firstLine="0" w:firstLineChars="0"/>
              <w:rPr>
                <w:rFonts w:ascii="仿宋_GB2312" w:hAnsi="仿宋_GB2312" w:cs="仿宋_GB2312"/>
                <w:color w:val="000000"/>
                <w:kern w:val="0"/>
                <w:sz w:val="24"/>
                <w:szCs w:val="24"/>
                <w:highlight w:val="none"/>
              </w:rPr>
            </w:pPr>
            <w:r>
              <w:rPr>
                <w:rFonts w:hint="eastAsia" w:ascii="仿宋_GB2312" w:hAnsi="仿宋_GB2312" w:cs="仿宋_GB2312"/>
                <w:color w:val="000000"/>
                <w:kern w:val="0"/>
                <w:sz w:val="24"/>
                <w:szCs w:val="24"/>
                <w:highlight w:val="none"/>
              </w:rPr>
              <w:t xml:space="preserve">旗帜鲜明地站在意识形态工作第一线，“三个带头、三个亲自”作用发挥到位，即：带头抓意识形态工作、带头管阵地把导向强队伍、带头批评错误观点和错误倾向，重要工作亲自部署、重要问题亲自过问、重大事件亲自处置。 </w:t>
            </w:r>
          </w:p>
        </w:tc>
        <w:tc>
          <w:tcPr>
            <w:tcW w:w="510" w:type="dxa"/>
            <w:noWrap w:val="0"/>
            <w:vAlign w:val="center"/>
          </w:tcPr>
          <w:p>
            <w:pPr>
              <w:widowControl/>
              <w:spacing w:before="210" w:after="210" w:line="320" w:lineRule="exact"/>
              <w:ind w:firstLine="0" w:firstLineChars="0"/>
              <w:jc w:val="center"/>
              <w:rPr>
                <w:rFonts w:ascii="仿宋_GB2312" w:hAnsi="仿宋_GB2312" w:cs="仿宋_GB2312"/>
                <w:color w:val="000000"/>
                <w:kern w:val="0"/>
                <w:sz w:val="24"/>
                <w:szCs w:val="24"/>
                <w:highlight w:val="none"/>
              </w:rPr>
            </w:pPr>
            <w:r>
              <w:rPr>
                <w:rFonts w:hint="eastAsia" w:ascii="仿宋_GB2312" w:hAnsi="仿宋_GB2312" w:cs="仿宋_GB2312"/>
                <w:color w:val="000000"/>
                <w:kern w:val="0"/>
                <w:sz w:val="24"/>
                <w:szCs w:val="24"/>
                <w:highlight w:val="none"/>
              </w:rPr>
              <w:t>12</w:t>
            </w:r>
          </w:p>
        </w:tc>
        <w:tc>
          <w:tcPr>
            <w:tcW w:w="570" w:type="dxa"/>
            <w:noWrap w:val="0"/>
            <w:vAlign w:val="top"/>
          </w:tcPr>
          <w:p>
            <w:pPr>
              <w:widowControl/>
              <w:spacing w:line="320" w:lineRule="exact"/>
              <w:ind w:firstLine="0" w:firstLineChars="0"/>
              <w:jc w:val="center"/>
              <w:rPr>
                <w:rFonts w:ascii="仿宋_GB2312" w:hAnsi="仿宋_GB2312" w:cs="仿宋_GB2312"/>
                <w:color w:val="000000"/>
                <w:kern w:val="0"/>
                <w:sz w:val="24"/>
                <w:szCs w:val="24"/>
                <w:highlight w:val="none"/>
              </w:rPr>
            </w:pPr>
          </w:p>
        </w:tc>
        <w:tc>
          <w:tcPr>
            <w:tcW w:w="1140" w:type="dxa"/>
            <w:noWrap w:val="0"/>
            <w:vAlign w:val="top"/>
          </w:tcPr>
          <w:p>
            <w:pPr>
              <w:widowControl/>
              <w:spacing w:line="320" w:lineRule="exact"/>
              <w:ind w:firstLine="0" w:firstLineChars="0"/>
              <w:jc w:val="center"/>
              <w:rPr>
                <w:rFonts w:ascii="仿宋_GB2312" w:hAnsi="仿宋_GB2312" w:cs="仿宋_GB2312"/>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515" w:type="dxa"/>
            <w:vMerge w:val="continue"/>
            <w:noWrap w:val="0"/>
            <w:vAlign w:val="top"/>
          </w:tcPr>
          <w:p>
            <w:pPr>
              <w:spacing w:line="320" w:lineRule="exact"/>
              <w:ind w:firstLine="0" w:firstLineChars="0"/>
              <w:rPr>
                <w:rFonts w:ascii="仿宋_GB2312" w:hAnsi="仿宋_GB2312" w:cs="仿宋_GB2312"/>
                <w:color w:val="000000"/>
                <w:kern w:val="0"/>
                <w:sz w:val="24"/>
                <w:szCs w:val="24"/>
                <w:highlight w:val="none"/>
              </w:rPr>
            </w:pPr>
          </w:p>
        </w:tc>
        <w:tc>
          <w:tcPr>
            <w:tcW w:w="765" w:type="dxa"/>
            <w:noWrap w:val="0"/>
            <w:vAlign w:val="center"/>
          </w:tcPr>
          <w:p>
            <w:pPr>
              <w:widowControl/>
              <w:spacing w:before="210" w:after="210" w:line="520" w:lineRule="exact"/>
              <w:ind w:firstLine="0" w:firstLineChars="0"/>
              <w:jc w:val="center"/>
              <w:rPr>
                <w:rFonts w:ascii="仿宋_GB2312" w:hAnsi="仿宋_GB2312" w:cs="仿宋_GB2312"/>
                <w:color w:val="000000"/>
                <w:kern w:val="0"/>
                <w:sz w:val="24"/>
                <w:szCs w:val="24"/>
                <w:highlight w:val="none"/>
              </w:rPr>
            </w:pPr>
            <w:r>
              <w:rPr>
                <w:rFonts w:hint="eastAsia" w:ascii="仿宋_GB2312" w:hAnsi="仿宋_GB2312" w:cs="仿宋_GB2312"/>
                <w:color w:val="000000"/>
                <w:kern w:val="0"/>
                <w:sz w:val="24"/>
                <w:szCs w:val="24"/>
                <w:highlight w:val="none"/>
              </w:rPr>
              <w:t>8</w:t>
            </w:r>
          </w:p>
        </w:tc>
        <w:tc>
          <w:tcPr>
            <w:tcW w:w="9525" w:type="dxa"/>
            <w:noWrap w:val="0"/>
            <w:vAlign w:val="center"/>
          </w:tcPr>
          <w:p>
            <w:pPr>
              <w:widowControl/>
              <w:spacing w:line="320" w:lineRule="exact"/>
              <w:ind w:firstLine="0" w:firstLineChars="0"/>
              <w:rPr>
                <w:rFonts w:ascii="仿宋_GB2312" w:hAnsi="仿宋_GB2312" w:cs="仿宋_GB2312"/>
                <w:color w:val="000000"/>
                <w:kern w:val="0"/>
                <w:sz w:val="24"/>
                <w:szCs w:val="24"/>
                <w:highlight w:val="none"/>
              </w:rPr>
            </w:pPr>
            <w:r>
              <w:rPr>
                <w:rFonts w:hint="eastAsia" w:ascii="仿宋_GB2312" w:hAnsi="仿宋_GB2312" w:cs="仿宋_GB2312"/>
                <w:color w:val="000000"/>
                <w:kern w:val="0"/>
                <w:sz w:val="24"/>
                <w:szCs w:val="24"/>
                <w:highlight w:val="none"/>
              </w:rPr>
              <w:t xml:space="preserve">积极推进本单位意识形态工作，每年专题研究意识形态工作不少于2次；及时掌握党总支成员意识形态责任落实情况，发现不适言行要进行约谈；向校党委开展履行意识形态工作责任述职。 </w:t>
            </w:r>
          </w:p>
        </w:tc>
        <w:tc>
          <w:tcPr>
            <w:tcW w:w="510" w:type="dxa"/>
            <w:noWrap w:val="0"/>
            <w:vAlign w:val="center"/>
          </w:tcPr>
          <w:p>
            <w:pPr>
              <w:widowControl/>
              <w:spacing w:before="210" w:after="210" w:line="320" w:lineRule="exact"/>
              <w:ind w:firstLine="0" w:firstLineChars="0"/>
              <w:jc w:val="center"/>
              <w:rPr>
                <w:rFonts w:ascii="仿宋_GB2312" w:hAnsi="仿宋_GB2312" w:cs="仿宋_GB2312"/>
                <w:color w:val="000000"/>
                <w:kern w:val="0"/>
                <w:sz w:val="24"/>
                <w:szCs w:val="24"/>
                <w:highlight w:val="none"/>
              </w:rPr>
            </w:pPr>
            <w:r>
              <w:rPr>
                <w:rFonts w:hint="eastAsia" w:ascii="仿宋_GB2312" w:hAnsi="仿宋_GB2312" w:cs="仿宋_GB2312"/>
                <w:color w:val="000000"/>
                <w:kern w:val="0"/>
                <w:sz w:val="24"/>
                <w:szCs w:val="24"/>
                <w:highlight w:val="none"/>
              </w:rPr>
              <w:t>13</w:t>
            </w:r>
          </w:p>
        </w:tc>
        <w:tc>
          <w:tcPr>
            <w:tcW w:w="570" w:type="dxa"/>
            <w:noWrap w:val="0"/>
            <w:vAlign w:val="top"/>
          </w:tcPr>
          <w:p>
            <w:pPr>
              <w:widowControl/>
              <w:spacing w:line="320" w:lineRule="exact"/>
              <w:ind w:firstLine="0" w:firstLineChars="0"/>
              <w:jc w:val="center"/>
              <w:rPr>
                <w:rFonts w:ascii="仿宋_GB2312" w:hAnsi="仿宋_GB2312" w:cs="仿宋_GB2312"/>
                <w:color w:val="000000"/>
                <w:kern w:val="0"/>
                <w:sz w:val="24"/>
                <w:szCs w:val="24"/>
                <w:highlight w:val="none"/>
              </w:rPr>
            </w:pPr>
          </w:p>
        </w:tc>
        <w:tc>
          <w:tcPr>
            <w:tcW w:w="1140" w:type="dxa"/>
            <w:noWrap w:val="0"/>
            <w:vAlign w:val="top"/>
          </w:tcPr>
          <w:p>
            <w:pPr>
              <w:widowControl/>
              <w:spacing w:line="320" w:lineRule="exact"/>
              <w:ind w:firstLine="0" w:firstLineChars="0"/>
              <w:jc w:val="center"/>
              <w:rPr>
                <w:rFonts w:ascii="仿宋_GB2312" w:hAnsi="仿宋_GB2312" w:cs="仿宋_GB2312"/>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restart"/>
            <w:noWrap w:val="0"/>
            <w:vAlign w:val="center"/>
          </w:tcPr>
          <w:p>
            <w:pPr>
              <w:widowControl/>
              <w:spacing w:line="320" w:lineRule="exact"/>
              <w:ind w:firstLine="0" w:firstLineChars="0"/>
              <w:jc w:val="center"/>
              <w:rPr>
                <w:rFonts w:ascii="黑体" w:hAnsi="黑体" w:eastAsia="黑体" w:cs="黑体"/>
                <w:color w:val="000000"/>
                <w:kern w:val="0"/>
                <w:sz w:val="24"/>
                <w:szCs w:val="24"/>
                <w:highlight w:val="none"/>
              </w:rPr>
            </w:pPr>
            <w:r>
              <w:rPr>
                <w:rFonts w:hint="eastAsia" w:ascii="黑体" w:hAnsi="黑体" w:eastAsia="黑体" w:cs="黑体"/>
                <w:color w:val="000000"/>
                <w:kern w:val="0"/>
                <w:sz w:val="24"/>
                <w:szCs w:val="24"/>
                <w:highlight w:val="none"/>
              </w:rPr>
              <w:t>（三）直接责任人责任落实情况</w:t>
            </w:r>
          </w:p>
          <w:p>
            <w:pPr>
              <w:widowControl/>
              <w:spacing w:line="320" w:lineRule="exact"/>
              <w:ind w:firstLine="0" w:firstLineChars="0"/>
              <w:jc w:val="center"/>
              <w:rPr>
                <w:rFonts w:ascii="黑体" w:hAnsi="黑体" w:eastAsia="黑体" w:cs="黑体"/>
                <w:color w:val="000000"/>
                <w:kern w:val="0"/>
                <w:sz w:val="24"/>
                <w:szCs w:val="24"/>
                <w:highlight w:val="none"/>
              </w:rPr>
            </w:pPr>
            <w:r>
              <w:rPr>
                <w:rFonts w:hint="eastAsia" w:ascii="黑体" w:hAnsi="黑体" w:eastAsia="黑体" w:cs="黑体"/>
                <w:color w:val="000000"/>
                <w:kern w:val="0"/>
                <w:sz w:val="24"/>
                <w:szCs w:val="24"/>
                <w:highlight w:val="none"/>
              </w:rPr>
              <w:t>（20分）</w:t>
            </w:r>
          </w:p>
        </w:tc>
        <w:tc>
          <w:tcPr>
            <w:tcW w:w="765" w:type="dxa"/>
            <w:noWrap w:val="0"/>
            <w:vAlign w:val="center"/>
          </w:tcPr>
          <w:p>
            <w:pPr>
              <w:widowControl/>
              <w:spacing w:before="210" w:after="210" w:line="520" w:lineRule="exact"/>
              <w:ind w:firstLine="0" w:firstLineChars="0"/>
              <w:jc w:val="center"/>
              <w:rPr>
                <w:rFonts w:ascii="仿宋_GB2312" w:hAnsi="仿宋_GB2312" w:cs="仿宋_GB2312"/>
                <w:color w:val="000000"/>
                <w:kern w:val="0"/>
                <w:sz w:val="24"/>
                <w:szCs w:val="24"/>
                <w:highlight w:val="none"/>
              </w:rPr>
            </w:pPr>
            <w:r>
              <w:rPr>
                <w:rFonts w:hint="eastAsia" w:ascii="仿宋_GB2312" w:hAnsi="仿宋_GB2312" w:cs="仿宋_GB2312"/>
                <w:color w:val="000000"/>
                <w:kern w:val="0"/>
                <w:sz w:val="24"/>
                <w:szCs w:val="24"/>
                <w:highlight w:val="none"/>
              </w:rPr>
              <w:t>9</w:t>
            </w:r>
          </w:p>
        </w:tc>
        <w:tc>
          <w:tcPr>
            <w:tcW w:w="9525" w:type="dxa"/>
            <w:noWrap w:val="0"/>
            <w:vAlign w:val="center"/>
          </w:tcPr>
          <w:p>
            <w:pPr>
              <w:widowControl/>
              <w:spacing w:line="320" w:lineRule="exact"/>
              <w:ind w:firstLine="0" w:firstLineChars="0"/>
              <w:rPr>
                <w:rFonts w:ascii="仿宋_GB2312" w:hAnsi="仿宋_GB2312" w:cs="仿宋_GB2312"/>
                <w:color w:val="000000"/>
                <w:kern w:val="0"/>
                <w:sz w:val="24"/>
                <w:szCs w:val="24"/>
                <w:highlight w:val="none"/>
              </w:rPr>
            </w:pPr>
            <w:r>
              <w:rPr>
                <w:rFonts w:hint="eastAsia" w:ascii="仿宋_GB2312" w:hAnsi="仿宋_GB2312" w:cs="仿宋_GB2312"/>
                <w:color w:val="000000"/>
                <w:kern w:val="0"/>
                <w:sz w:val="24"/>
                <w:szCs w:val="24"/>
                <w:highlight w:val="none"/>
              </w:rPr>
              <w:t xml:space="preserve">党总支分管领导履行好统筹、协调、指导的责任，对本党总支成员的意识形态工作指导到位；每年对本单位意识形态工作至少进行1次专项督查，将督查结果向校党委报告。 </w:t>
            </w:r>
          </w:p>
        </w:tc>
        <w:tc>
          <w:tcPr>
            <w:tcW w:w="510" w:type="dxa"/>
            <w:noWrap w:val="0"/>
            <w:vAlign w:val="center"/>
          </w:tcPr>
          <w:p>
            <w:pPr>
              <w:widowControl/>
              <w:spacing w:before="210" w:after="210" w:line="320" w:lineRule="exact"/>
              <w:ind w:firstLine="0" w:firstLineChars="0"/>
              <w:jc w:val="center"/>
              <w:rPr>
                <w:rFonts w:ascii="仿宋_GB2312" w:hAnsi="仿宋_GB2312" w:cs="仿宋_GB2312"/>
                <w:color w:val="000000"/>
                <w:kern w:val="0"/>
                <w:sz w:val="24"/>
                <w:szCs w:val="24"/>
                <w:highlight w:val="none"/>
              </w:rPr>
            </w:pPr>
            <w:r>
              <w:rPr>
                <w:rFonts w:hint="eastAsia" w:ascii="仿宋_GB2312" w:hAnsi="仿宋_GB2312" w:cs="仿宋_GB2312"/>
                <w:color w:val="000000"/>
                <w:kern w:val="0"/>
                <w:sz w:val="24"/>
                <w:szCs w:val="24"/>
                <w:highlight w:val="none"/>
              </w:rPr>
              <w:t>8</w:t>
            </w:r>
          </w:p>
        </w:tc>
        <w:tc>
          <w:tcPr>
            <w:tcW w:w="570" w:type="dxa"/>
            <w:noWrap w:val="0"/>
            <w:vAlign w:val="top"/>
          </w:tcPr>
          <w:p>
            <w:pPr>
              <w:widowControl/>
              <w:spacing w:line="320" w:lineRule="exact"/>
              <w:ind w:firstLine="0" w:firstLineChars="0"/>
              <w:jc w:val="center"/>
              <w:rPr>
                <w:rFonts w:ascii="仿宋_GB2312" w:hAnsi="仿宋_GB2312" w:cs="仿宋_GB2312"/>
                <w:color w:val="000000"/>
                <w:kern w:val="0"/>
                <w:sz w:val="24"/>
                <w:szCs w:val="24"/>
                <w:highlight w:val="none"/>
              </w:rPr>
            </w:pPr>
          </w:p>
        </w:tc>
        <w:tc>
          <w:tcPr>
            <w:tcW w:w="1140" w:type="dxa"/>
            <w:noWrap w:val="0"/>
            <w:vAlign w:val="top"/>
          </w:tcPr>
          <w:p>
            <w:pPr>
              <w:widowControl/>
              <w:spacing w:line="320" w:lineRule="exact"/>
              <w:ind w:firstLine="0" w:firstLineChars="0"/>
              <w:jc w:val="center"/>
              <w:rPr>
                <w:rFonts w:ascii="仿宋_GB2312" w:hAnsi="仿宋_GB2312" w:cs="仿宋_GB2312"/>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515" w:type="dxa"/>
            <w:vMerge w:val="continue"/>
            <w:noWrap w:val="0"/>
            <w:vAlign w:val="center"/>
          </w:tcPr>
          <w:p>
            <w:pPr>
              <w:widowControl/>
              <w:spacing w:before="210" w:after="210" w:line="320" w:lineRule="exact"/>
              <w:ind w:firstLine="0" w:firstLineChars="0"/>
              <w:jc w:val="center"/>
              <w:rPr>
                <w:rFonts w:ascii="黑体" w:hAnsi="黑体" w:eastAsia="黑体" w:cs="黑体"/>
                <w:color w:val="000000"/>
                <w:kern w:val="0"/>
                <w:sz w:val="24"/>
                <w:szCs w:val="24"/>
                <w:highlight w:val="none"/>
              </w:rPr>
            </w:pPr>
          </w:p>
        </w:tc>
        <w:tc>
          <w:tcPr>
            <w:tcW w:w="765" w:type="dxa"/>
            <w:noWrap w:val="0"/>
            <w:vAlign w:val="center"/>
          </w:tcPr>
          <w:p>
            <w:pPr>
              <w:widowControl/>
              <w:spacing w:before="210" w:after="210" w:line="520" w:lineRule="exact"/>
              <w:ind w:firstLine="0" w:firstLineChars="0"/>
              <w:jc w:val="center"/>
              <w:rPr>
                <w:rFonts w:ascii="仿宋_GB2312" w:hAnsi="仿宋_GB2312" w:cs="仿宋_GB2312"/>
                <w:color w:val="000000"/>
                <w:kern w:val="0"/>
                <w:sz w:val="24"/>
                <w:szCs w:val="24"/>
                <w:highlight w:val="none"/>
              </w:rPr>
            </w:pPr>
            <w:r>
              <w:rPr>
                <w:rFonts w:hint="eastAsia" w:ascii="仿宋_GB2312" w:hAnsi="仿宋_GB2312" w:cs="仿宋_GB2312"/>
                <w:color w:val="000000"/>
                <w:kern w:val="0"/>
                <w:sz w:val="24"/>
                <w:szCs w:val="24"/>
                <w:highlight w:val="none"/>
              </w:rPr>
              <w:t>10</w:t>
            </w:r>
          </w:p>
        </w:tc>
        <w:tc>
          <w:tcPr>
            <w:tcW w:w="9525" w:type="dxa"/>
            <w:noWrap w:val="0"/>
            <w:vAlign w:val="center"/>
          </w:tcPr>
          <w:p>
            <w:pPr>
              <w:widowControl/>
              <w:spacing w:line="320" w:lineRule="exact"/>
              <w:ind w:firstLine="0" w:firstLineChars="0"/>
              <w:rPr>
                <w:rFonts w:ascii="仿宋_GB2312" w:hAnsi="仿宋_GB2312" w:cs="仿宋_GB2312"/>
                <w:color w:val="000000"/>
                <w:kern w:val="0"/>
                <w:sz w:val="24"/>
                <w:szCs w:val="24"/>
                <w:highlight w:val="none"/>
              </w:rPr>
            </w:pPr>
            <w:r>
              <w:rPr>
                <w:rFonts w:hint="eastAsia" w:ascii="仿宋_GB2312" w:hAnsi="仿宋_GB2312" w:cs="仿宋_GB2312"/>
                <w:color w:val="000000"/>
                <w:kern w:val="0"/>
                <w:sz w:val="24"/>
                <w:szCs w:val="24"/>
                <w:highlight w:val="none"/>
              </w:rPr>
              <w:t xml:space="preserve">牵头抓好本单位思想理论建设，深入开展群众性精神文明创建活动，推进社会主义核心价值观落细落小落实，每项工作支撑材料；师生思想、新闻舆论、文化文艺、网络、宗教思想等意识形态阵地管理规范到位，工作机制健全，责任到岗到人。 </w:t>
            </w:r>
          </w:p>
        </w:tc>
        <w:tc>
          <w:tcPr>
            <w:tcW w:w="510" w:type="dxa"/>
            <w:noWrap w:val="0"/>
            <w:vAlign w:val="center"/>
          </w:tcPr>
          <w:p>
            <w:pPr>
              <w:widowControl/>
              <w:spacing w:before="210" w:after="210" w:line="320" w:lineRule="exact"/>
              <w:ind w:firstLine="0" w:firstLineChars="0"/>
              <w:jc w:val="center"/>
              <w:rPr>
                <w:rFonts w:ascii="仿宋_GB2312" w:hAnsi="仿宋_GB2312" w:cs="仿宋_GB2312"/>
                <w:color w:val="000000"/>
                <w:kern w:val="0"/>
                <w:sz w:val="24"/>
                <w:szCs w:val="24"/>
                <w:highlight w:val="none"/>
              </w:rPr>
            </w:pPr>
            <w:r>
              <w:rPr>
                <w:rFonts w:hint="eastAsia" w:ascii="仿宋_GB2312" w:hAnsi="仿宋_GB2312" w:cs="仿宋_GB2312"/>
                <w:color w:val="000000"/>
                <w:kern w:val="0"/>
                <w:sz w:val="24"/>
                <w:szCs w:val="24"/>
                <w:highlight w:val="none"/>
              </w:rPr>
              <w:t>12</w:t>
            </w:r>
          </w:p>
        </w:tc>
        <w:tc>
          <w:tcPr>
            <w:tcW w:w="570" w:type="dxa"/>
            <w:noWrap w:val="0"/>
            <w:vAlign w:val="top"/>
          </w:tcPr>
          <w:p>
            <w:pPr>
              <w:widowControl/>
              <w:spacing w:line="320" w:lineRule="exact"/>
              <w:ind w:firstLine="0" w:firstLineChars="0"/>
              <w:jc w:val="center"/>
              <w:rPr>
                <w:rFonts w:ascii="仿宋_GB2312" w:hAnsi="仿宋_GB2312" w:cs="仿宋_GB2312"/>
                <w:color w:val="000000"/>
                <w:kern w:val="0"/>
                <w:sz w:val="24"/>
                <w:szCs w:val="24"/>
                <w:highlight w:val="none"/>
              </w:rPr>
            </w:pPr>
          </w:p>
        </w:tc>
        <w:tc>
          <w:tcPr>
            <w:tcW w:w="1140" w:type="dxa"/>
            <w:noWrap w:val="0"/>
            <w:vAlign w:val="top"/>
          </w:tcPr>
          <w:p>
            <w:pPr>
              <w:widowControl/>
              <w:spacing w:line="320" w:lineRule="exact"/>
              <w:ind w:firstLine="0" w:firstLineChars="0"/>
              <w:jc w:val="center"/>
              <w:rPr>
                <w:rFonts w:ascii="仿宋_GB2312" w:hAnsi="仿宋_GB2312" w:cs="仿宋_GB2312"/>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515" w:type="dxa"/>
            <w:vMerge w:val="restart"/>
            <w:noWrap w:val="0"/>
            <w:vAlign w:val="center"/>
          </w:tcPr>
          <w:p>
            <w:pPr>
              <w:widowControl/>
              <w:spacing w:line="320" w:lineRule="exact"/>
              <w:ind w:firstLine="0" w:firstLineChars="0"/>
              <w:jc w:val="center"/>
              <w:rPr>
                <w:rFonts w:ascii="黑体" w:hAnsi="黑体" w:eastAsia="黑体" w:cs="黑体"/>
                <w:color w:val="000000"/>
                <w:kern w:val="0"/>
                <w:sz w:val="24"/>
                <w:szCs w:val="24"/>
                <w:highlight w:val="none"/>
              </w:rPr>
            </w:pPr>
            <w:r>
              <w:rPr>
                <w:rFonts w:hint="eastAsia" w:ascii="黑体" w:hAnsi="黑体" w:eastAsia="黑体" w:cs="黑体"/>
                <w:color w:val="000000"/>
                <w:kern w:val="0"/>
                <w:sz w:val="24"/>
                <w:szCs w:val="24"/>
                <w:highlight w:val="none"/>
              </w:rPr>
              <w:t>（四）“一岗双责”落实情况</w:t>
            </w:r>
          </w:p>
          <w:p>
            <w:pPr>
              <w:widowControl/>
              <w:spacing w:line="320" w:lineRule="exact"/>
              <w:ind w:firstLine="0" w:firstLineChars="0"/>
              <w:jc w:val="center"/>
              <w:rPr>
                <w:rFonts w:ascii="黑体" w:hAnsi="黑体" w:eastAsia="黑体" w:cs="黑体"/>
                <w:color w:val="000000"/>
                <w:kern w:val="0"/>
                <w:sz w:val="24"/>
                <w:szCs w:val="24"/>
                <w:highlight w:val="none"/>
              </w:rPr>
            </w:pPr>
            <w:r>
              <w:rPr>
                <w:rFonts w:hint="eastAsia" w:ascii="黑体" w:hAnsi="黑体" w:eastAsia="黑体" w:cs="黑体"/>
                <w:color w:val="000000"/>
                <w:kern w:val="0"/>
                <w:sz w:val="24"/>
                <w:szCs w:val="24"/>
                <w:highlight w:val="none"/>
              </w:rPr>
              <w:t>（15分）</w:t>
            </w:r>
          </w:p>
        </w:tc>
        <w:tc>
          <w:tcPr>
            <w:tcW w:w="765" w:type="dxa"/>
            <w:noWrap w:val="0"/>
            <w:vAlign w:val="center"/>
          </w:tcPr>
          <w:p>
            <w:pPr>
              <w:widowControl/>
              <w:spacing w:before="210" w:after="210" w:line="520" w:lineRule="exact"/>
              <w:ind w:firstLine="0" w:firstLineChars="0"/>
              <w:jc w:val="center"/>
              <w:rPr>
                <w:rFonts w:ascii="仿宋_GB2312" w:hAnsi="仿宋_GB2312" w:cs="仿宋_GB2312"/>
                <w:color w:val="000000"/>
                <w:kern w:val="0"/>
                <w:sz w:val="24"/>
                <w:szCs w:val="24"/>
                <w:highlight w:val="none"/>
              </w:rPr>
            </w:pPr>
            <w:r>
              <w:rPr>
                <w:rFonts w:hint="eastAsia" w:ascii="仿宋_GB2312" w:hAnsi="仿宋_GB2312" w:cs="仿宋_GB2312"/>
                <w:color w:val="000000"/>
                <w:kern w:val="0"/>
                <w:sz w:val="24"/>
                <w:szCs w:val="24"/>
                <w:highlight w:val="none"/>
              </w:rPr>
              <w:t>11</w:t>
            </w:r>
          </w:p>
        </w:tc>
        <w:tc>
          <w:tcPr>
            <w:tcW w:w="9525" w:type="dxa"/>
            <w:noWrap w:val="0"/>
            <w:vAlign w:val="center"/>
          </w:tcPr>
          <w:p>
            <w:pPr>
              <w:widowControl/>
              <w:spacing w:line="320" w:lineRule="exact"/>
              <w:ind w:firstLine="0" w:firstLineChars="0"/>
              <w:rPr>
                <w:rFonts w:ascii="仿宋_GB2312" w:hAnsi="仿宋_GB2312" w:cs="仿宋_GB2312"/>
                <w:color w:val="000000"/>
                <w:kern w:val="0"/>
                <w:sz w:val="24"/>
                <w:szCs w:val="24"/>
                <w:highlight w:val="none"/>
              </w:rPr>
            </w:pPr>
            <w:r>
              <w:rPr>
                <w:rFonts w:hint="eastAsia" w:ascii="仿宋_GB2312" w:hAnsi="仿宋_GB2312" w:cs="仿宋_GB2312"/>
                <w:color w:val="000000"/>
                <w:kern w:val="0"/>
                <w:sz w:val="24"/>
                <w:szCs w:val="24"/>
                <w:highlight w:val="none"/>
              </w:rPr>
              <w:t xml:space="preserve">对职责范围内的意识形态工作领导责任履行到位，定期研究、部署、检查和报告分管范围内的意识形态工作情况；指导分管部门研究制定加强意识形态工作的具体措施；对分管部门、分管领域的党员干部加强经常性意识形态教育和党风廉政教育。 </w:t>
            </w:r>
          </w:p>
        </w:tc>
        <w:tc>
          <w:tcPr>
            <w:tcW w:w="510" w:type="dxa"/>
            <w:noWrap w:val="0"/>
            <w:vAlign w:val="center"/>
          </w:tcPr>
          <w:p>
            <w:pPr>
              <w:widowControl/>
              <w:spacing w:before="210" w:after="210" w:line="320" w:lineRule="exact"/>
              <w:ind w:firstLine="0" w:firstLineChars="0"/>
              <w:jc w:val="center"/>
              <w:rPr>
                <w:rFonts w:ascii="仿宋_GB2312" w:hAnsi="仿宋_GB2312" w:cs="仿宋_GB2312"/>
                <w:color w:val="000000"/>
                <w:kern w:val="0"/>
                <w:sz w:val="24"/>
                <w:szCs w:val="24"/>
                <w:highlight w:val="none"/>
              </w:rPr>
            </w:pPr>
            <w:r>
              <w:rPr>
                <w:rFonts w:hint="eastAsia" w:ascii="仿宋_GB2312" w:hAnsi="仿宋_GB2312" w:cs="仿宋_GB2312"/>
                <w:color w:val="000000"/>
                <w:kern w:val="0"/>
                <w:sz w:val="24"/>
                <w:szCs w:val="24"/>
                <w:highlight w:val="none"/>
              </w:rPr>
              <w:t>10</w:t>
            </w:r>
          </w:p>
        </w:tc>
        <w:tc>
          <w:tcPr>
            <w:tcW w:w="570" w:type="dxa"/>
            <w:noWrap w:val="0"/>
            <w:vAlign w:val="top"/>
          </w:tcPr>
          <w:p>
            <w:pPr>
              <w:widowControl/>
              <w:spacing w:line="320" w:lineRule="exact"/>
              <w:ind w:firstLine="0" w:firstLineChars="0"/>
              <w:jc w:val="center"/>
              <w:rPr>
                <w:rFonts w:ascii="仿宋_GB2312" w:hAnsi="仿宋_GB2312" w:cs="仿宋_GB2312"/>
                <w:color w:val="000000"/>
                <w:kern w:val="0"/>
                <w:sz w:val="24"/>
                <w:szCs w:val="24"/>
                <w:highlight w:val="none"/>
              </w:rPr>
            </w:pPr>
          </w:p>
        </w:tc>
        <w:tc>
          <w:tcPr>
            <w:tcW w:w="1140" w:type="dxa"/>
            <w:noWrap w:val="0"/>
            <w:vAlign w:val="top"/>
          </w:tcPr>
          <w:p>
            <w:pPr>
              <w:widowControl/>
              <w:spacing w:line="320" w:lineRule="exact"/>
              <w:ind w:firstLine="0" w:firstLineChars="0"/>
              <w:jc w:val="center"/>
              <w:rPr>
                <w:rFonts w:ascii="仿宋_GB2312" w:hAnsi="仿宋_GB2312" w:cs="仿宋_GB2312"/>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515" w:type="dxa"/>
            <w:vMerge w:val="continue"/>
            <w:noWrap w:val="0"/>
            <w:vAlign w:val="center"/>
          </w:tcPr>
          <w:p>
            <w:pPr>
              <w:widowControl/>
              <w:spacing w:line="520" w:lineRule="exact"/>
              <w:ind w:firstLine="0" w:firstLineChars="0"/>
              <w:jc w:val="center"/>
              <w:rPr>
                <w:rFonts w:ascii="仿宋_GB2312" w:hAnsi="仿宋_GB2312" w:cs="仿宋_GB2312"/>
                <w:color w:val="000000"/>
                <w:kern w:val="0"/>
                <w:sz w:val="24"/>
                <w:szCs w:val="24"/>
                <w:highlight w:val="none"/>
              </w:rPr>
            </w:pPr>
          </w:p>
        </w:tc>
        <w:tc>
          <w:tcPr>
            <w:tcW w:w="765" w:type="dxa"/>
            <w:noWrap w:val="0"/>
            <w:vAlign w:val="center"/>
          </w:tcPr>
          <w:p>
            <w:pPr>
              <w:widowControl/>
              <w:spacing w:before="210" w:after="210" w:line="520" w:lineRule="exact"/>
              <w:ind w:firstLine="0" w:firstLineChars="0"/>
              <w:jc w:val="center"/>
              <w:rPr>
                <w:rFonts w:ascii="仿宋_GB2312" w:hAnsi="仿宋_GB2312" w:cs="仿宋_GB2312"/>
                <w:color w:val="000000"/>
                <w:kern w:val="0"/>
                <w:sz w:val="24"/>
                <w:szCs w:val="24"/>
                <w:highlight w:val="none"/>
              </w:rPr>
            </w:pPr>
            <w:r>
              <w:rPr>
                <w:rFonts w:hint="eastAsia" w:ascii="仿宋_GB2312" w:hAnsi="仿宋_GB2312" w:cs="仿宋_GB2312"/>
                <w:color w:val="000000"/>
                <w:kern w:val="0"/>
                <w:sz w:val="24"/>
                <w:szCs w:val="24"/>
                <w:highlight w:val="none"/>
              </w:rPr>
              <w:t>12</w:t>
            </w:r>
          </w:p>
        </w:tc>
        <w:tc>
          <w:tcPr>
            <w:tcW w:w="9525" w:type="dxa"/>
            <w:noWrap w:val="0"/>
            <w:vAlign w:val="center"/>
          </w:tcPr>
          <w:p>
            <w:pPr>
              <w:widowControl/>
              <w:spacing w:line="320" w:lineRule="exact"/>
              <w:ind w:firstLine="0" w:firstLineChars="0"/>
              <w:rPr>
                <w:rFonts w:ascii="仿宋_GB2312" w:hAnsi="仿宋_GB2312" w:cs="仿宋_GB2312"/>
                <w:color w:val="000000"/>
                <w:kern w:val="0"/>
                <w:sz w:val="24"/>
                <w:szCs w:val="24"/>
                <w:highlight w:val="none"/>
              </w:rPr>
            </w:pPr>
            <w:r>
              <w:rPr>
                <w:rFonts w:hint="eastAsia" w:ascii="仿宋_GB2312" w:hAnsi="仿宋_GB2312" w:cs="仿宋_GB2312"/>
                <w:color w:val="000000"/>
                <w:kern w:val="0"/>
                <w:sz w:val="24"/>
                <w:szCs w:val="24"/>
                <w:highlight w:val="none"/>
              </w:rPr>
              <w:t xml:space="preserve">及时处置分管单位的意识形态工作重大问题，对责任单位和责任人依纪依法实施问责，并建档立案。 </w:t>
            </w:r>
          </w:p>
        </w:tc>
        <w:tc>
          <w:tcPr>
            <w:tcW w:w="510" w:type="dxa"/>
            <w:noWrap w:val="0"/>
            <w:vAlign w:val="center"/>
          </w:tcPr>
          <w:p>
            <w:pPr>
              <w:widowControl/>
              <w:spacing w:before="210" w:after="210" w:line="320" w:lineRule="exact"/>
              <w:ind w:firstLine="0" w:firstLineChars="0"/>
              <w:jc w:val="center"/>
              <w:rPr>
                <w:rFonts w:ascii="仿宋_GB2312" w:hAnsi="仿宋_GB2312" w:cs="仿宋_GB2312"/>
                <w:color w:val="000000"/>
                <w:kern w:val="0"/>
                <w:sz w:val="24"/>
                <w:szCs w:val="24"/>
                <w:highlight w:val="none"/>
              </w:rPr>
            </w:pPr>
            <w:r>
              <w:rPr>
                <w:rFonts w:hint="eastAsia" w:ascii="仿宋_GB2312" w:hAnsi="仿宋_GB2312" w:cs="仿宋_GB2312"/>
                <w:color w:val="000000"/>
                <w:kern w:val="0"/>
                <w:sz w:val="24"/>
                <w:szCs w:val="24"/>
                <w:highlight w:val="none"/>
              </w:rPr>
              <w:t>5</w:t>
            </w:r>
          </w:p>
        </w:tc>
        <w:tc>
          <w:tcPr>
            <w:tcW w:w="570" w:type="dxa"/>
            <w:noWrap w:val="0"/>
            <w:vAlign w:val="top"/>
          </w:tcPr>
          <w:p>
            <w:pPr>
              <w:widowControl/>
              <w:spacing w:line="320" w:lineRule="exact"/>
              <w:ind w:firstLine="0" w:firstLineChars="0"/>
              <w:jc w:val="center"/>
              <w:rPr>
                <w:rFonts w:ascii="仿宋_GB2312" w:hAnsi="仿宋_GB2312" w:cs="仿宋_GB2312"/>
                <w:color w:val="000000"/>
                <w:kern w:val="0"/>
                <w:sz w:val="24"/>
                <w:szCs w:val="24"/>
                <w:highlight w:val="none"/>
              </w:rPr>
            </w:pPr>
          </w:p>
        </w:tc>
        <w:tc>
          <w:tcPr>
            <w:tcW w:w="1140" w:type="dxa"/>
            <w:noWrap w:val="0"/>
            <w:vAlign w:val="top"/>
          </w:tcPr>
          <w:p>
            <w:pPr>
              <w:widowControl/>
              <w:spacing w:line="320" w:lineRule="exact"/>
              <w:ind w:firstLine="0" w:firstLineChars="0"/>
              <w:jc w:val="center"/>
              <w:rPr>
                <w:rFonts w:ascii="仿宋_GB2312" w:hAnsi="仿宋_GB2312" w:cs="仿宋_GB2312"/>
                <w:color w:val="000000"/>
                <w:kern w:val="0"/>
                <w:sz w:val="24"/>
                <w:szCs w:val="24"/>
                <w:highlight w:val="none"/>
              </w:rPr>
            </w:pPr>
          </w:p>
        </w:tc>
      </w:tr>
    </w:tbl>
    <w:p>
      <w:pPr>
        <w:snapToGrid w:val="0"/>
        <w:spacing w:line="440" w:lineRule="exact"/>
        <w:rPr>
          <w:rFonts w:ascii="仿宋_GB2312" w:hAnsi="Courier New"/>
          <w:color w:val="000000"/>
          <w:spacing w:val="-34"/>
          <w:szCs w:val="21"/>
          <w:highlight w:val="none"/>
        </w:rPr>
      </w:pPr>
      <w:r>
        <w:rPr>
          <w:rFonts w:hint="eastAsia" w:ascii="黑体" w:hAnsi="黑体" w:eastAsia="黑体" w:cs="黑体"/>
          <w:color w:val="000000"/>
          <w:szCs w:val="21"/>
          <w:highlight w:val="none"/>
        </w:rPr>
        <w:t>附件2</w:t>
      </w:r>
    </w:p>
    <w:p>
      <w:pPr>
        <w:keepNext w:val="0"/>
        <w:keepLines w:val="0"/>
        <w:pageBreakBefore w:val="0"/>
        <w:widowControl/>
        <w:kinsoku/>
        <w:wordWrap/>
        <w:overflowPunct/>
        <w:topLinePunct w:val="0"/>
        <w:autoSpaceDE/>
        <w:autoSpaceDN/>
        <w:bidi w:val="0"/>
        <w:adjustRightInd/>
        <w:snapToGrid w:val="0"/>
        <w:spacing w:line="660" w:lineRule="exact"/>
        <w:ind w:firstLine="0" w:firstLineChars="0"/>
        <w:jc w:val="center"/>
        <w:textAlignment w:val="auto"/>
        <w:rPr>
          <w:rFonts w:hint="eastAsia" w:ascii="方正小标宋简体" w:hAnsi="方正小标宋简体" w:eastAsia="方正小标宋简体" w:cs="方正小标宋简体"/>
          <w:b w:val="0"/>
          <w:bCs w:val="0"/>
          <w:color w:val="000000"/>
          <w:sz w:val="44"/>
          <w:szCs w:val="44"/>
          <w:highlight w:val="none"/>
        </w:rPr>
      </w:pPr>
      <w:r>
        <w:rPr>
          <w:rFonts w:hint="eastAsia" w:ascii="方正小标宋简体" w:hAnsi="方正小标宋简体" w:eastAsia="方正小标宋简体" w:cs="方正小标宋简体"/>
          <w:b w:val="0"/>
          <w:bCs w:val="0"/>
          <w:color w:val="000000"/>
          <w:sz w:val="44"/>
          <w:szCs w:val="44"/>
          <w:highlight w:val="none"/>
        </w:rPr>
        <w:t>意识形态工作责任制负面清单</w:t>
      </w:r>
    </w:p>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方正小标宋简体" w:hAnsi="方正小标宋简体" w:eastAsia="方正小标宋简体" w:cs="方正小标宋简体"/>
          <w:b w:val="0"/>
          <w:bCs w:val="0"/>
          <w:color w:val="000000"/>
          <w:sz w:val="44"/>
          <w:szCs w:val="44"/>
          <w:highlight w:val="none"/>
        </w:rPr>
      </w:pPr>
    </w:p>
    <w:tbl>
      <w:tblPr>
        <w:tblStyle w:val="5"/>
        <w:tblW w:w="14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1628"/>
        <w:gridCol w:w="703"/>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776" w:type="dxa"/>
            <w:tcBorders>
              <w:top w:val="single" w:color="auto" w:sz="8" w:space="0"/>
              <w:left w:val="single" w:color="auto" w:sz="8" w:space="0"/>
              <w:bottom w:val="single" w:color="auto" w:sz="8" w:space="0"/>
              <w:right w:val="single" w:color="auto" w:sz="8" w:space="0"/>
            </w:tcBorders>
            <w:noWrap w:val="0"/>
            <w:vAlign w:val="center"/>
          </w:tcPr>
          <w:p>
            <w:pPr>
              <w:snapToGrid w:val="0"/>
              <w:spacing w:line="320" w:lineRule="exact"/>
              <w:ind w:firstLine="0" w:firstLineChars="0"/>
              <w:jc w:val="center"/>
              <w:rPr>
                <w:rFonts w:ascii="黑体" w:hAnsi="黑体" w:eastAsia="黑体" w:cs="黑体"/>
                <w:color w:val="000000"/>
                <w:sz w:val="24"/>
                <w:szCs w:val="24"/>
                <w:highlight w:val="none"/>
              </w:rPr>
            </w:pPr>
            <w:r>
              <w:rPr>
                <w:rFonts w:hint="eastAsia" w:ascii="黑体" w:hAnsi="黑体" w:eastAsia="黑体" w:cs="黑体"/>
                <w:color w:val="000000"/>
                <w:kern w:val="0"/>
                <w:sz w:val="24"/>
                <w:szCs w:val="24"/>
                <w:highlight w:val="none"/>
              </w:rPr>
              <w:t>序号</w:t>
            </w:r>
          </w:p>
        </w:tc>
        <w:tc>
          <w:tcPr>
            <w:tcW w:w="11628" w:type="dxa"/>
            <w:tcBorders>
              <w:top w:val="single" w:color="auto" w:sz="8" w:space="0"/>
              <w:left w:val="single" w:color="auto" w:sz="8" w:space="0"/>
              <w:bottom w:val="single" w:color="auto" w:sz="8" w:space="0"/>
              <w:right w:val="single" w:color="auto" w:sz="8" w:space="0"/>
            </w:tcBorders>
            <w:noWrap w:val="0"/>
            <w:vAlign w:val="center"/>
          </w:tcPr>
          <w:p>
            <w:pPr>
              <w:snapToGrid w:val="0"/>
              <w:spacing w:line="380" w:lineRule="exact"/>
              <w:ind w:firstLine="0" w:firstLineChars="0"/>
              <w:jc w:val="center"/>
              <w:rPr>
                <w:rFonts w:ascii="黑体" w:hAnsi="黑体" w:eastAsia="黑体" w:cs="黑体"/>
                <w:color w:val="000000"/>
                <w:sz w:val="24"/>
                <w:szCs w:val="24"/>
                <w:highlight w:val="none"/>
              </w:rPr>
            </w:pPr>
            <w:r>
              <w:rPr>
                <w:rFonts w:hint="eastAsia" w:ascii="黑体" w:hAnsi="黑体" w:eastAsia="黑体" w:cs="黑体"/>
                <w:color w:val="000000"/>
                <w:kern w:val="0"/>
                <w:sz w:val="24"/>
                <w:szCs w:val="24"/>
                <w:highlight w:val="none"/>
              </w:rPr>
              <w:t>项目</w:t>
            </w:r>
          </w:p>
        </w:tc>
        <w:tc>
          <w:tcPr>
            <w:tcW w:w="703" w:type="dxa"/>
            <w:tcBorders>
              <w:top w:val="single" w:color="auto" w:sz="8" w:space="0"/>
              <w:left w:val="single" w:color="auto" w:sz="8" w:space="0"/>
              <w:bottom w:val="single" w:color="auto" w:sz="8" w:space="0"/>
              <w:right w:val="single" w:color="auto" w:sz="8" w:space="0"/>
            </w:tcBorders>
            <w:noWrap w:val="0"/>
            <w:vAlign w:val="center"/>
          </w:tcPr>
          <w:p>
            <w:pPr>
              <w:snapToGrid w:val="0"/>
              <w:spacing w:line="320" w:lineRule="exact"/>
              <w:ind w:firstLine="0" w:firstLineChars="0"/>
              <w:jc w:val="center"/>
              <w:rPr>
                <w:rFonts w:ascii="黑体" w:hAnsi="黑体" w:eastAsia="黑体" w:cs="黑体"/>
                <w:color w:val="000000"/>
                <w:sz w:val="24"/>
                <w:szCs w:val="24"/>
                <w:highlight w:val="none"/>
              </w:rPr>
            </w:pPr>
            <w:r>
              <w:rPr>
                <w:rFonts w:hint="eastAsia" w:ascii="黑体" w:hAnsi="黑体" w:eastAsia="黑体" w:cs="黑体"/>
                <w:color w:val="000000"/>
                <w:kern w:val="0"/>
                <w:sz w:val="24"/>
                <w:szCs w:val="24"/>
                <w:highlight w:val="none"/>
              </w:rPr>
              <w:t>扣分</w:t>
            </w:r>
          </w:p>
        </w:tc>
        <w:tc>
          <w:tcPr>
            <w:tcW w:w="1307" w:type="dxa"/>
            <w:tcBorders>
              <w:top w:val="single" w:color="auto" w:sz="8" w:space="0"/>
              <w:left w:val="single" w:color="auto" w:sz="8" w:space="0"/>
              <w:bottom w:val="single" w:color="auto" w:sz="8" w:space="0"/>
              <w:right w:val="single" w:color="auto" w:sz="8" w:space="0"/>
            </w:tcBorders>
            <w:noWrap w:val="0"/>
            <w:vAlign w:val="center"/>
          </w:tcPr>
          <w:p>
            <w:pPr>
              <w:snapToGrid w:val="0"/>
              <w:spacing w:line="320" w:lineRule="exact"/>
              <w:ind w:firstLine="0" w:firstLineChars="0"/>
              <w:jc w:val="center"/>
              <w:rPr>
                <w:rFonts w:ascii="黑体" w:hAnsi="黑体" w:eastAsia="黑体" w:cs="黑体"/>
                <w:color w:val="000000"/>
                <w:sz w:val="24"/>
                <w:szCs w:val="24"/>
                <w:highlight w:val="none"/>
              </w:rPr>
            </w:pPr>
            <w:r>
              <w:rPr>
                <w:rFonts w:hint="eastAsia" w:ascii="黑体" w:hAnsi="黑体" w:eastAsia="黑体" w:cs="黑体"/>
                <w:color w:val="000000"/>
                <w:kern w:val="0"/>
                <w:sz w:val="24"/>
                <w:szCs w:val="24"/>
                <w:highlight w:val="none"/>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6" w:type="dxa"/>
            <w:tcBorders>
              <w:top w:val="single" w:color="auto" w:sz="8" w:space="0"/>
              <w:left w:val="single" w:color="auto" w:sz="8" w:space="0"/>
              <w:bottom w:val="single" w:color="auto" w:sz="8" w:space="0"/>
              <w:right w:val="single" w:color="auto" w:sz="8" w:space="0"/>
            </w:tcBorders>
            <w:noWrap w:val="0"/>
            <w:vAlign w:val="center"/>
          </w:tcPr>
          <w:p>
            <w:pPr>
              <w:snapToGrid w:val="0"/>
              <w:spacing w:line="320" w:lineRule="exact"/>
              <w:ind w:firstLine="0" w:firstLineChars="0"/>
              <w:jc w:val="center"/>
              <w:rPr>
                <w:rFonts w:ascii="仿宋_GB2312" w:hAnsi="仿宋_GB2312" w:cs="仿宋_GB2312"/>
                <w:color w:val="000000"/>
                <w:sz w:val="24"/>
                <w:szCs w:val="24"/>
                <w:highlight w:val="none"/>
              </w:rPr>
            </w:pPr>
            <w:r>
              <w:rPr>
                <w:rFonts w:hint="eastAsia" w:ascii="仿宋_GB2312" w:hAnsi="仿宋_GB2312" w:cs="仿宋_GB2312"/>
                <w:color w:val="000000"/>
                <w:kern w:val="0"/>
                <w:sz w:val="24"/>
                <w:szCs w:val="24"/>
                <w:highlight w:val="none"/>
              </w:rPr>
              <w:t>1</w:t>
            </w:r>
          </w:p>
        </w:tc>
        <w:tc>
          <w:tcPr>
            <w:tcW w:w="11628" w:type="dxa"/>
            <w:tcBorders>
              <w:top w:val="single" w:color="auto" w:sz="8" w:space="0"/>
              <w:left w:val="single" w:color="auto" w:sz="8" w:space="0"/>
              <w:bottom w:val="single" w:color="auto" w:sz="8" w:space="0"/>
              <w:right w:val="single" w:color="auto" w:sz="8" w:space="0"/>
            </w:tcBorders>
            <w:noWrap w:val="0"/>
            <w:vAlign w:val="center"/>
          </w:tcPr>
          <w:p>
            <w:pPr>
              <w:snapToGrid w:val="0"/>
              <w:spacing w:line="380" w:lineRule="exact"/>
              <w:ind w:firstLine="0" w:firstLineChars="0"/>
              <w:jc w:val="left"/>
              <w:rPr>
                <w:rFonts w:ascii="仿宋_GB2312" w:hAnsi="仿宋_GB2312" w:cs="仿宋_GB2312"/>
                <w:color w:val="000000"/>
                <w:sz w:val="24"/>
                <w:szCs w:val="24"/>
                <w:highlight w:val="none"/>
              </w:rPr>
            </w:pPr>
            <w:r>
              <w:rPr>
                <w:rFonts w:hint="eastAsia" w:ascii="仿宋_GB2312" w:hAnsi="仿宋_GB2312" w:cs="仿宋_GB2312"/>
                <w:color w:val="000000"/>
                <w:kern w:val="0"/>
                <w:sz w:val="24"/>
                <w:szCs w:val="24"/>
                <w:highlight w:val="none"/>
              </w:rPr>
              <w:t>对党中央、省委、市委和校党委安排部署的重大宣传教育任务、重大思想舆论斗争组织开展不力的。</w:t>
            </w:r>
          </w:p>
        </w:tc>
        <w:tc>
          <w:tcPr>
            <w:tcW w:w="703" w:type="dxa"/>
            <w:tcBorders>
              <w:top w:val="single" w:color="auto" w:sz="8" w:space="0"/>
              <w:left w:val="single" w:color="auto" w:sz="8" w:space="0"/>
              <w:bottom w:val="single" w:color="auto" w:sz="8" w:space="0"/>
              <w:right w:val="single" w:color="auto" w:sz="8" w:space="0"/>
            </w:tcBorders>
            <w:noWrap w:val="0"/>
            <w:vAlign w:val="center"/>
          </w:tcPr>
          <w:p>
            <w:pPr>
              <w:snapToGrid w:val="0"/>
              <w:spacing w:line="320" w:lineRule="exact"/>
              <w:ind w:firstLine="0" w:firstLineChars="0"/>
              <w:jc w:val="center"/>
              <w:rPr>
                <w:rFonts w:ascii="仿宋_GB2312" w:hAnsi="仿宋_GB2312" w:cs="仿宋_GB2312"/>
                <w:color w:val="000000"/>
                <w:sz w:val="24"/>
                <w:szCs w:val="24"/>
                <w:highlight w:val="none"/>
              </w:rPr>
            </w:pPr>
          </w:p>
        </w:tc>
        <w:tc>
          <w:tcPr>
            <w:tcW w:w="1307" w:type="dxa"/>
            <w:tcBorders>
              <w:top w:val="single" w:color="auto" w:sz="8" w:space="0"/>
              <w:left w:val="single" w:color="auto" w:sz="8" w:space="0"/>
              <w:bottom w:val="single" w:color="auto" w:sz="8" w:space="0"/>
              <w:right w:val="single" w:color="auto" w:sz="8" w:space="0"/>
            </w:tcBorders>
            <w:noWrap w:val="0"/>
            <w:vAlign w:val="center"/>
          </w:tcPr>
          <w:p>
            <w:pPr>
              <w:snapToGrid w:val="0"/>
              <w:spacing w:line="320" w:lineRule="exact"/>
              <w:ind w:firstLine="0" w:firstLineChars="0"/>
              <w:jc w:val="center"/>
              <w:rPr>
                <w:rFonts w:ascii="仿宋_GB2312" w:hAnsi="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6" w:type="dxa"/>
            <w:tcBorders>
              <w:top w:val="single" w:color="auto" w:sz="8" w:space="0"/>
              <w:left w:val="single" w:color="auto" w:sz="8" w:space="0"/>
              <w:bottom w:val="single" w:color="auto" w:sz="8" w:space="0"/>
              <w:right w:val="single" w:color="auto" w:sz="8" w:space="0"/>
            </w:tcBorders>
            <w:noWrap w:val="0"/>
            <w:vAlign w:val="center"/>
          </w:tcPr>
          <w:p>
            <w:pPr>
              <w:snapToGrid w:val="0"/>
              <w:spacing w:line="320" w:lineRule="exact"/>
              <w:ind w:firstLine="0" w:firstLineChars="0"/>
              <w:jc w:val="center"/>
              <w:rPr>
                <w:rFonts w:ascii="仿宋_GB2312" w:hAnsi="仿宋_GB2312" w:cs="仿宋_GB2312"/>
                <w:color w:val="000000"/>
                <w:sz w:val="24"/>
                <w:szCs w:val="24"/>
                <w:highlight w:val="none"/>
              </w:rPr>
            </w:pPr>
            <w:r>
              <w:rPr>
                <w:rFonts w:hint="eastAsia" w:ascii="仿宋_GB2312" w:hAnsi="仿宋_GB2312" w:cs="仿宋_GB2312"/>
                <w:color w:val="000000"/>
                <w:kern w:val="0"/>
                <w:sz w:val="24"/>
                <w:szCs w:val="24"/>
                <w:highlight w:val="none"/>
              </w:rPr>
              <w:t>2</w:t>
            </w:r>
          </w:p>
        </w:tc>
        <w:tc>
          <w:tcPr>
            <w:tcW w:w="11628" w:type="dxa"/>
            <w:tcBorders>
              <w:top w:val="single" w:color="auto" w:sz="8" w:space="0"/>
              <w:left w:val="single" w:color="auto" w:sz="8" w:space="0"/>
              <w:bottom w:val="single" w:color="auto" w:sz="8" w:space="0"/>
              <w:right w:val="single" w:color="auto" w:sz="8" w:space="0"/>
            </w:tcBorders>
            <w:noWrap w:val="0"/>
            <w:vAlign w:val="center"/>
          </w:tcPr>
          <w:p>
            <w:pPr>
              <w:snapToGrid w:val="0"/>
              <w:spacing w:line="380" w:lineRule="exact"/>
              <w:ind w:firstLine="0" w:firstLineChars="0"/>
              <w:jc w:val="left"/>
              <w:rPr>
                <w:rFonts w:ascii="仿宋_GB2312" w:hAnsi="仿宋_GB2312" w:cs="仿宋_GB2312"/>
                <w:color w:val="000000"/>
                <w:sz w:val="24"/>
                <w:szCs w:val="24"/>
                <w:highlight w:val="none"/>
              </w:rPr>
            </w:pPr>
            <w:r>
              <w:rPr>
                <w:rFonts w:hint="eastAsia" w:ascii="仿宋_GB2312" w:hAnsi="仿宋_GB2312" w:cs="仿宋_GB2312"/>
                <w:color w:val="000000"/>
                <w:kern w:val="0"/>
                <w:sz w:val="24"/>
                <w:szCs w:val="24"/>
                <w:highlight w:val="none"/>
              </w:rPr>
              <w:t>在处置意识形态领域重大问题上，党总支书记没有站在第一线、没有带头与错误观点和错误倾向作斗争的。</w:t>
            </w:r>
          </w:p>
        </w:tc>
        <w:tc>
          <w:tcPr>
            <w:tcW w:w="703" w:type="dxa"/>
            <w:tcBorders>
              <w:top w:val="single" w:color="auto" w:sz="8" w:space="0"/>
              <w:left w:val="single" w:color="auto" w:sz="8" w:space="0"/>
              <w:bottom w:val="single" w:color="auto" w:sz="8" w:space="0"/>
              <w:right w:val="single" w:color="auto" w:sz="8" w:space="0"/>
            </w:tcBorders>
            <w:noWrap w:val="0"/>
            <w:vAlign w:val="center"/>
          </w:tcPr>
          <w:p>
            <w:pPr>
              <w:snapToGrid w:val="0"/>
              <w:spacing w:line="320" w:lineRule="exact"/>
              <w:ind w:firstLine="0" w:firstLineChars="0"/>
              <w:jc w:val="center"/>
              <w:rPr>
                <w:rFonts w:ascii="仿宋_GB2312" w:hAnsi="仿宋_GB2312" w:cs="仿宋_GB2312"/>
                <w:color w:val="000000"/>
                <w:sz w:val="24"/>
                <w:szCs w:val="24"/>
                <w:highlight w:val="none"/>
              </w:rPr>
            </w:pPr>
          </w:p>
        </w:tc>
        <w:tc>
          <w:tcPr>
            <w:tcW w:w="1307" w:type="dxa"/>
            <w:tcBorders>
              <w:top w:val="single" w:color="auto" w:sz="8" w:space="0"/>
              <w:left w:val="single" w:color="auto" w:sz="8" w:space="0"/>
              <w:bottom w:val="single" w:color="auto" w:sz="8" w:space="0"/>
              <w:right w:val="single" w:color="auto" w:sz="8" w:space="0"/>
            </w:tcBorders>
            <w:noWrap w:val="0"/>
            <w:vAlign w:val="center"/>
          </w:tcPr>
          <w:p>
            <w:pPr>
              <w:snapToGrid w:val="0"/>
              <w:spacing w:line="320" w:lineRule="exact"/>
              <w:ind w:firstLine="0" w:firstLineChars="0"/>
              <w:jc w:val="center"/>
              <w:rPr>
                <w:rFonts w:ascii="仿宋_GB2312" w:hAnsi="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6" w:type="dxa"/>
            <w:tcBorders>
              <w:top w:val="single" w:color="auto" w:sz="8" w:space="0"/>
              <w:left w:val="single" w:color="auto" w:sz="8" w:space="0"/>
              <w:bottom w:val="single" w:color="auto" w:sz="8" w:space="0"/>
              <w:right w:val="single" w:color="auto" w:sz="8" w:space="0"/>
            </w:tcBorders>
            <w:noWrap w:val="0"/>
            <w:vAlign w:val="center"/>
          </w:tcPr>
          <w:p>
            <w:pPr>
              <w:snapToGrid w:val="0"/>
              <w:spacing w:line="320" w:lineRule="exact"/>
              <w:ind w:firstLine="0" w:firstLineChars="0"/>
              <w:jc w:val="center"/>
              <w:rPr>
                <w:rFonts w:ascii="仿宋_GB2312" w:hAnsi="仿宋_GB2312" w:cs="仿宋_GB2312"/>
                <w:color w:val="000000"/>
                <w:sz w:val="24"/>
                <w:szCs w:val="24"/>
                <w:highlight w:val="none"/>
              </w:rPr>
            </w:pPr>
            <w:r>
              <w:rPr>
                <w:rFonts w:hint="eastAsia" w:ascii="仿宋_GB2312" w:hAnsi="仿宋_GB2312" w:cs="仿宋_GB2312"/>
                <w:color w:val="000000"/>
                <w:kern w:val="0"/>
                <w:sz w:val="24"/>
                <w:szCs w:val="24"/>
                <w:highlight w:val="none"/>
              </w:rPr>
              <w:t>3</w:t>
            </w:r>
          </w:p>
        </w:tc>
        <w:tc>
          <w:tcPr>
            <w:tcW w:w="11628" w:type="dxa"/>
            <w:tcBorders>
              <w:top w:val="single" w:color="auto" w:sz="8" w:space="0"/>
              <w:left w:val="single" w:color="auto" w:sz="8" w:space="0"/>
              <w:bottom w:val="single" w:color="auto" w:sz="8" w:space="0"/>
              <w:right w:val="single" w:color="auto" w:sz="8" w:space="0"/>
            </w:tcBorders>
            <w:noWrap w:val="0"/>
            <w:vAlign w:val="center"/>
          </w:tcPr>
          <w:p>
            <w:pPr>
              <w:snapToGrid w:val="0"/>
              <w:spacing w:line="380" w:lineRule="exact"/>
              <w:ind w:firstLine="0" w:firstLineChars="0"/>
              <w:jc w:val="left"/>
              <w:rPr>
                <w:rFonts w:ascii="仿宋_GB2312" w:hAnsi="仿宋_GB2312" w:cs="仿宋_GB2312"/>
                <w:color w:val="000000"/>
                <w:sz w:val="24"/>
                <w:szCs w:val="24"/>
                <w:highlight w:val="none"/>
              </w:rPr>
            </w:pPr>
            <w:r>
              <w:rPr>
                <w:rFonts w:hint="eastAsia" w:ascii="仿宋_GB2312" w:hAnsi="仿宋_GB2312" w:cs="仿宋_GB2312"/>
                <w:color w:val="000000"/>
                <w:kern w:val="0"/>
                <w:sz w:val="24"/>
                <w:szCs w:val="24"/>
                <w:highlight w:val="none"/>
              </w:rPr>
              <w:t>所负责部门内发生由意识形态领域问题引发群体性事件的。</w:t>
            </w:r>
          </w:p>
        </w:tc>
        <w:tc>
          <w:tcPr>
            <w:tcW w:w="703" w:type="dxa"/>
            <w:tcBorders>
              <w:top w:val="single" w:color="auto" w:sz="8" w:space="0"/>
              <w:left w:val="single" w:color="auto" w:sz="8" w:space="0"/>
              <w:bottom w:val="single" w:color="auto" w:sz="8" w:space="0"/>
              <w:right w:val="single" w:color="auto" w:sz="8" w:space="0"/>
            </w:tcBorders>
            <w:noWrap w:val="0"/>
            <w:vAlign w:val="center"/>
          </w:tcPr>
          <w:p>
            <w:pPr>
              <w:snapToGrid w:val="0"/>
              <w:spacing w:line="320" w:lineRule="exact"/>
              <w:ind w:firstLine="0" w:firstLineChars="0"/>
              <w:jc w:val="center"/>
              <w:rPr>
                <w:rFonts w:ascii="仿宋_GB2312" w:hAnsi="仿宋_GB2312" w:cs="仿宋_GB2312"/>
                <w:color w:val="000000"/>
                <w:sz w:val="24"/>
                <w:szCs w:val="24"/>
                <w:highlight w:val="none"/>
              </w:rPr>
            </w:pPr>
          </w:p>
        </w:tc>
        <w:tc>
          <w:tcPr>
            <w:tcW w:w="1307" w:type="dxa"/>
            <w:tcBorders>
              <w:top w:val="single" w:color="auto" w:sz="8" w:space="0"/>
              <w:left w:val="single" w:color="auto" w:sz="8" w:space="0"/>
              <w:bottom w:val="single" w:color="auto" w:sz="8" w:space="0"/>
              <w:right w:val="single" w:color="auto" w:sz="8" w:space="0"/>
            </w:tcBorders>
            <w:noWrap w:val="0"/>
            <w:vAlign w:val="center"/>
          </w:tcPr>
          <w:p>
            <w:pPr>
              <w:snapToGrid w:val="0"/>
              <w:spacing w:line="320" w:lineRule="exact"/>
              <w:ind w:firstLine="0" w:firstLineChars="0"/>
              <w:jc w:val="center"/>
              <w:rPr>
                <w:rFonts w:ascii="仿宋_GB2312" w:hAnsi="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6" w:type="dxa"/>
            <w:tcBorders>
              <w:top w:val="single" w:color="auto" w:sz="8" w:space="0"/>
              <w:left w:val="single" w:color="auto" w:sz="8" w:space="0"/>
              <w:bottom w:val="single" w:color="auto" w:sz="8" w:space="0"/>
              <w:right w:val="single" w:color="auto" w:sz="8" w:space="0"/>
            </w:tcBorders>
            <w:noWrap w:val="0"/>
            <w:vAlign w:val="center"/>
          </w:tcPr>
          <w:p>
            <w:pPr>
              <w:snapToGrid w:val="0"/>
              <w:spacing w:line="320" w:lineRule="exact"/>
              <w:ind w:firstLine="0" w:firstLineChars="0"/>
              <w:jc w:val="center"/>
              <w:rPr>
                <w:rFonts w:ascii="仿宋_GB2312" w:hAnsi="仿宋_GB2312" w:cs="仿宋_GB2312"/>
                <w:color w:val="000000"/>
                <w:sz w:val="24"/>
                <w:szCs w:val="24"/>
                <w:highlight w:val="none"/>
              </w:rPr>
            </w:pPr>
            <w:r>
              <w:rPr>
                <w:rFonts w:hint="eastAsia" w:ascii="仿宋_GB2312" w:hAnsi="仿宋_GB2312" w:cs="仿宋_GB2312"/>
                <w:color w:val="000000"/>
                <w:kern w:val="0"/>
                <w:sz w:val="24"/>
                <w:szCs w:val="24"/>
                <w:highlight w:val="none"/>
              </w:rPr>
              <w:t>4</w:t>
            </w:r>
          </w:p>
        </w:tc>
        <w:tc>
          <w:tcPr>
            <w:tcW w:w="11628" w:type="dxa"/>
            <w:tcBorders>
              <w:top w:val="single" w:color="auto" w:sz="8" w:space="0"/>
              <w:left w:val="single" w:color="auto" w:sz="8" w:space="0"/>
              <w:bottom w:val="single" w:color="auto" w:sz="8" w:space="0"/>
              <w:right w:val="single" w:color="auto" w:sz="8" w:space="0"/>
            </w:tcBorders>
            <w:noWrap w:val="0"/>
            <w:vAlign w:val="center"/>
          </w:tcPr>
          <w:p>
            <w:pPr>
              <w:snapToGrid w:val="0"/>
              <w:spacing w:line="380" w:lineRule="exact"/>
              <w:ind w:firstLine="0" w:firstLineChars="0"/>
              <w:jc w:val="left"/>
              <w:rPr>
                <w:rFonts w:ascii="仿宋_GB2312" w:hAnsi="仿宋_GB2312" w:cs="仿宋_GB2312"/>
                <w:color w:val="000000"/>
                <w:sz w:val="24"/>
                <w:szCs w:val="24"/>
                <w:highlight w:val="none"/>
              </w:rPr>
            </w:pPr>
            <w:r>
              <w:rPr>
                <w:rFonts w:hint="eastAsia" w:ascii="仿宋_GB2312" w:hAnsi="仿宋_GB2312" w:cs="仿宋_GB2312"/>
                <w:color w:val="000000"/>
                <w:kern w:val="0"/>
                <w:sz w:val="24"/>
                <w:szCs w:val="24"/>
                <w:highlight w:val="none"/>
              </w:rPr>
              <w:t>对所负责部门的党员干部或者学生党员公开发表违背党章、党的决定决议和政策的言论放任不管、管制不力的。</w:t>
            </w:r>
          </w:p>
        </w:tc>
        <w:tc>
          <w:tcPr>
            <w:tcW w:w="703" w:type="dxa"/>
            <w:tcBorders>
              <w:top w:val="single" w:color="auto" w:sz="8" w:space="0"/>
              <w:left w:val="single" w:color="auto" w:sz="8" w:space="0"/>
              <w:bottom w:val="single" w:color="auto" w:sz="8" w:space="0"/>
              <w:right w:val="single" w:color="auto" w:sz="8" w:space="0"/>
            </w:tcBorders>
            <w:noWrap w:val="0"/>
            <w:vAlign w:val="center"/>
          </w:tcPr>
          <w:p>
            <w:pPr>
              <w:snapToGrid w:val="0"/>
              <w:spacing w:line="320" w:lineRule="exact"/>
              <w:ind w:firstLine="0" w:firstLineChars="0"/>
              <w:jc w:val="center"/>
              <w:rPr>
                <w:rFonts w:ascii="仿宋_GB2312" w:hAnsi="仿宋_GB2312" w:cs="仿宋_GB2312"/>
                <w:color w:val="000000"/>
                <w:sz w:val="24"/>
                <w:szCs w:val="24"/>
                <w:highlight w:val="none"/>
              </w:rPr>
            </w:pPr>
          </w:p>
        </w:tc>
        <w:tc>
          <w:tcPr>
            <w:tcW w:w="1307" w:type="dxa"/>
            <w:tcBorders>
              <w:top w:val="single" w:color="auto" w:sz="8" w:space="0"/>
              <w:left w:val="single" w:color="auto" w:sz="8" w:space="0"/>
              <w:bottom w:val="single" w:color="auto" w:sz="8" w:space="0"/>
              <w:right w:val="single" w:color="auto" w:sz="8" w:space="0"/>
            </w:tcBorders>
            <w:noWrap w:val="0"/>
            <w:vAlign w:val="center"/>
          </w:tcPr>
          <w:p>
            <w:pPr>
              <w:snapToGrid w:val="0"/>
              <w:spacing w:line="320" w:lineRule="exact"/>
              <w:ind w:firstLine="0" w:firstLineChars="0"/>
              <w:jc w:val="center"/>
              <w:rPr>
                <w:rFonts w:ascii="仿宋_GB2312" w:hAnsi="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6" w:type="dxa"/>
            <w:tcBorders>
              <w:top w:val="single" w:color="auto" w:sz="8" w:space="0"/>
              <w:left w:val="single" w:color="auto" w:sz="8" w:space="0"/>
              <w:bottom w:val="single" w:color="auto" w:sz="8" w:space="0"/>
              <w:right w:val="single" w:color="auto" w:sz="8" w:space="0"/>
            </w:tcBorders>
            <w:noWrap w:val="0"/>
            <w:vAlign w:val="center"/>
          </w:tcPr>
          <w:p>
            <w:pPr>
              <w:snapToGrid w:val="0"/>
              <w:spacing w:line="320" w:lineRule="exact"/>
              <w:ind w:firstLine="0" w:firstLineChars="0"/>
              <w:jc w:val="center"/>
              <w:rPr>
                <w:rFonts w:ascii="仿宋_GB2312" w:hAnsi="仿宋_GB2312" w:cs="仿宋_GB2312"/>
                <w:color w:val="000000"/>
                <w:sz w:val="24"/>
                <w:szCs w:val="24"/>
                <w:highlight w:val="none"/>
              </w:rPr>
            </w:pPr>
            <w:r>
              <w:rPr>
                <w:rFonts w:hint="eastAsia" w:ascii="仿宋_GB2312" w:hAnsi="仿宋_GB2312" w:cs="仿宋_GB2312"/>
                <w:color w:val="000000"/>
                <w:kern w:val="0"/>
                <w:sz w:val="24"/>
                <w:szCs w:val="24"/>
                <w:highlight w:val="none"/>
              </w:rPr>
              <w:t>5</w:t>
            </w:r>
          </w:p>
        </w:tc>
        <w:tc>
          <w:tcPr>
            <w:tcW w:w="11628" w:type="dxa"/>
            <w:tcBorders>
              <w:top w:val="single" w:color="auto" w:sz="8" w:space="0"/>
              <w:left w:val="single" w:color="auto" w:sz="8" w:space="0"/>
              <w:bottom w:val="single" w:color="auto" w:sz="8" w:space="0"/>
              <w:right w:val="single" w:color="auto" w:sz="8" w:space="0"/>
            </w:tcBorders>
            <w:noWrap w:val="0"/>
            <w:vAlign w:val="center"/>
          </w:tcPr>
          <w:p>
            <w:pPr>
              <w:snapToGrid w:val="0"/>
              <w:spacing w:line="380" w:lineRule="exact"/>
              <w:ind w:firstLine="0" w:firstLineChars="0"/>
              <w:jc w:val="left"/>
              <w:rPr>
                <w:rFonts w:ascii="仿宋_GB2312" w:hAnsi="仿宋_GB2312" w:cs="仿宋_GB2312"/>
                <w:color w:val="000000"/>
                <w:sz w:val="24"/>
                <w:szCs w:val="24"/>
                <w:highlight w:val="none"/>
              </w:rPr>
            </w:pPr>
            <w:r>
              <w:rPr>
                <w:rFonts w:hint="eastAsia" w:ascii="仿宋_GB2312" w:hAnsi="仿宋_GB2312" w:cs="仿宋_GB2312"/>
                <w:color w:val="000000"/>
                <w:kern w:val="0"/>
                <w:sz w:val="24"/>
                <w:szCs w:val="24"/>
                <w:highlight w:val="none"/>
              </w:rPr>
              <w:t>所负责的部门新闻宣传出现严重错误导向的。</w:t>
            </w:r>
          </w:p>
        </w:tc>
        <w:tc>
          <w:tcPr>
            <w:tcW w:w="703" w:type="dxa"/>
            <w:tcBorders>
              <w:top w:val="single" w:color="auto" w:sz="8" w:space="0"/>
              <w:left w:val="single" w:color="auto" w:sz="8" w:space="0"/>
              <w:bottom w:val="single" w:color="auto" w:sz="8" w:space="0"/>
              <w:right w:val="single" w:color="auto" w:sz="8" w:space="0"/>
            </w:tcBorders>
            <w:noWrap w:val="0"/>
            <w:vAlign w:val="center"/>
          </w:tcPr>
          <w:p>
            <w:pPr>
              <w:snapToGrid w:val="0"/>
              <w:spacing w:line="320" w:lineRule="exact"/>
              <w:ind w:firstLine="0" w:firstLineChars="0"/>
              <w:jc w:val="center"/>
              <w:rPr>
                <w:rFonts w:ascii="仿宋_GB2312" w:hAnsi="仿宋_GB2312" w:cs="仿宋_GB2312"/>
                <w:color w:val="000000"/>
                <w:sz w:val="24"/>
                <w:szCs w:val="24"/>
                <w:highlight w:val="none"/>
              </w:rPr>
            </w:pPr>
          </w:p>
        </w:tc>
        <w:tc>
          <w:tcPr>
            <w:tcW w:w="1307" w:type="dxa"/>
            <w:tcBorders>
              <w:top w:val="single" w:color="auto" w:sz="8" w:space="0"/>
              <w:left w:val="single" w:color="auto" w:sz="8" w:space="0"/>
              <w:bottom w:val="single" w:color="auto" w:sz="8" w:space="0"/>
              <w:right w:val="single" w:color="auto" w:sz="8" w:space="0"/>
            </w:tcBorders>
            <w:noWrap w:val="0"/>
            <w:vAlign w:val="center"/>
          </w:tcPr>
          <w:p>
            <w:pPr>
              <w:snapToGrid w:val="0"/>
              <w:spacing w:line="320" w:lineRule="exact"/>
              <w:ind w:firstLine="0" w:firstLineChars="0"/>
              <w:jc w:val="center"/>
              <w:rPr>
                <w:rFonts w:ascii="仿宋_GB2312" w:hAnsi="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6" w:type="dxa"/>
            <w:tcBorders>
              <w:top w:val="single" w:color="auto" w:sz="8" w:space="0"/>
              <w:left w:val="single" w:color="auto" w:sz="8" w:space="0"/>
              <w:bottom w:val="single" w:color="auto" w:sz="8" w:space="0"/>
              <w:right w:val="single" w:color="auto" w:sz="8" w:space="0"/>
            </w:tcBorders>
            <w:noWrap w:val="0"/>
            <w:vAlign w:val="center"/>
          </w:tcPr>
          <w:p>
            <w:pPr>
              <w:snapToGrid w:val="0"/>
              <w:spacing w:line="320" w:lineRule="exact"/>
              <w:ind w:firstLine="0" w:firstLineChars="0"/>
              <w:jc w:val="center"/>
              <w:rPr>
                <w:rFonts w:ascii="仿宋_GB2312" w:hAnsi="仿宋_GB2312" w:cs="仿宋_GB2312"/>
                <w:color w:val="000000"/>
                <w:sz w:val="24"/>
                <w:szCs w:val="24"/>
                <w:highlight w:val="none"/>
              </w:rPr>
            </w:pPr>
            <w:r>
              <w:rPr>
                <w:rFonts w:hint="eastAsia" w:ascii="仿宋_GB2312" w:hAnsi="仿宋_GB2312" w:cs="仿宋_GB2312"/>
                <w:color w:val="000000"/>
                <w:kern w:val="0"/>
                <w:sz w:val="24"/>
                <w:szCs w:val="24"/>
                <w:highlight w:val="none"/>
              </w:rPr>
              <w:t>6</w:t>
            </w:r>
          </w:p>
        </w:tc>
        <w:tc>
          <w:tcPr>
            <w:tcW w:w="11628" w:type="dxa"/>
            <w:tcBorders>
              <w:top w:val="single" w:color="auto" w:sz="8" w:space="0"/>
              <w:left w:val="single" w:color="auto" w:sz="8" w:space="0"/>
              <w:bottom w:val="single" w:color="auto" w:sz="8" w:space="0"/>
              <w:right w:val="single" w:color="auto" w:sz="8" w:space="0"/>
            </w:tcBorders>
            <w:noWrap w:val="0"/>
            <w:vAlign w:val="center"/>
          </w:tcPr>
          <w:p>
            <w:pPr>
              <w:snapToGrid w:val="0"/>
              <w:spacing w:line="380" w:lineRule="exact"/>
              <w:ind w:firstLine="0" w:firstLineChars="0"/>
              <w:jc w:val="left"/>
              <w:rPr>
                <w:rFonts w:ascii="仿宋_GB2312" w:hAnsi="仿宋_GB2312" w:cs="仿宋_GB2312"/>
                <w:color w:val="000000"/>
                <w:sz w:val="24"/>
                <w:szCs w:val="24"/>
                <w:highlight w:val="none"/>
              </w:rPr>
            </w:pPr>
            <w:r>
              <w:rPr>
                <w:rFonts w:hint="eastAsia" w:ascii="仿宋_GB2312" w:hAnsi="仿宋_GB2312" w:cs="仿宋_GB2312"/>
                <w:color w:val="000000"/>
                <w:kern w:val="0"/>
                <w:sz w:val="24"/>
                <w:szCs w:val="24"/>
                <w:highlight w:val="none"/>
              </w:rPr>
              <w:t>所负责的部门人员对外公开发行的论文和编写的教材等在意识形态方面有严重错误导向的。</w:t>
            </w:r>
          </w:p>
        </w:tc>
        <w:tc>
          <w:tcPr>
            <w:tcW w:w="703" w:type="dxa"/>
            <w:tcBorders>
              <w:top w:val="single" w:color="auto" w:sz="8" w:space="0"/>
              <w:left w:val="single" w:color="auto" w:sz="8" w:space="0"/>
              <w:bottom w:val="single" w:color="auto" w:sz="8" w:space="0"/>
              <w:right w:val="single" w:color="auto" w:sz="8" w:space="0"/>
            </w:tcBorders>
            <w:noWrap w:val="0"/>
            <w:vAlign w:val="center"/>
          </w:tcPr>
          <w:p>
            <w:pPr>
              <w:snapToGrid w:val="0"/>
              <w:spacing w:line="320" w:lineRule="exact"/>
              <w:ind w:firstLine="0" w:firstLineChars="0"/>
              <w:jc w:val="center"/>
              <w:rPr>
                <w:rFonts w:ascii="仿宋_GB2312" w:hAnsi="仿宋_GB2312" w:cs="仿宋_GB2312"/>
                <w:color w:val="000000"/>
                <w:sz w:val="24"/>
                <w:szCs w:val="24"/>
                <w:highlight w:val="none"/>
              </w:rPr>
            </w:pPr>
          </w:p>
        </w:tc>
        <w:tc>
          <w:tcPr>
            <w:tcW w:w="1307" w:type="dxa"/>
            <w:tcBorders>
              <w:top w:val="single" w:color="auto" w:sz="8" w:space="0"/>
              <w:left w:val="single" w:color="auto" w:sz="8" w:space="0"/>
              <w:bottom w:val="single" w:color="auto" w:sz="8" w:space="0"/>
              <w:right w:val="single" w:color="auto" w:sz="8" w:space="0"/>
            </w:tcBorders>
            <w:noWrap w:val="0"/>
            <w:vAlign w:val="center"/>
          </w:tcPr>
          <w:p>
            <w:pPr>
              <w:snapToGrid w:val="0"/>
              <w:spacing w:line="320" w:lineRule="exact"/>
              <w:ind w:firstLine="0" w:firstLineChars="0"/>
              <w:jc w:val="center"/>
              <w:rPr>
                <w:rFonts w:ascii="仿宋_GB2312" w:hAnsi="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6" w:type="dxa"/>
            <w:tcBorders>
              <w:top w:val="single" w:color="auto" w:sz="8" w:space="0"/>
              <w:left w:val="single" w:color="auto" w:sz="8" w:space="0"/>
              <w:bottom w:val="single" w:color="auto" w:sz="8" w:space="0"/>
              <w:right w:val="single" w:color="auto" w:sz="8" w:space="0"/>
            </w:tcBorders>
            <w:noWrap w:val="0"/>
            <w:vAlign w:val="center"/>
          </w:tcPr>
          <w:p>
            <w:pPr>
              <w:snapToGrid w:val="0"/>
              <w:spacing w:line="320" w:lineRule="exact"/>
              <w:ind w:firstLine="0" w:firstLineChars="0"/>
              <w:jc w:val="center"/>
              <w:rPr>
                <w:rFonts w:ascii="仿宋_GB2312" w:hAnsi="仿宋_GB2312" w:cs="仿宋_GB2312"/>
                <w:color w:val="000000"/>
                <w:sz w:val="24"/>
                <w:szCs w:val="24"/>
                <w:highlight w:val="none"/>
              </w:rPr>
            </w:pPr>
            <w:r>
              <w:rPr>
                <w:rFonts w:hint="eastAsia" w:ascii="仿宋_GB2312" w:hAnsi="仿宋_GB2312" w:cs="仿宋_GB2312"/>
                <w:color w:val="000000"/>
                <w:kern w:val="0"/>
                <w:sz w:val="24"/>
                <w:szCs w:val="24"/>
                <w:highlight w:val="none"/>
              </w:rPr>
              <w:t>7</w:t>
            </w:r>
          </w:p>
        </w:tc>
        <w:tc>
          <w:tcPr>
            <w:tcW w:w="11628" w:type="dxa"/>
            <w:tcBorders>
              <w:top w:val="single" w:color="auto" w:sz="8" w:space="0"/>
              <w:left w:val="single" w:color="auto" w:sz="8" w:space="0"/>
              <w:bottom w:val="single" w:color="auto" w:sz="8" w:space="0"/>
              <w:right w:val="single" w:color="auto" w:sz="8" w:space="0"/>
            </w:tcBorders>
            <w:noWrap w:val="0"/>
            <w:vAlign w:val="center"/>
          </w:tcPr>
          <w:p>
            <w:pPr>
              <w:snapToGrid w:val="0"/>
              <w:spacing w:line="380" w:lineRule="exact"/>
              <w:ind w:firstLine="0" w:firstLineChars="0"/>
              <w:jc w:val="left"/>
              <w:rPr>
                <w:rFonts w:ascii="仿宋_GB2312" w:hAnsi="仿宋_GB2312" w:cs="仿宋_GB2312"/>
                <w:color w:val="000000"/>
                <w:sz w:val="24"/>
                <w:szCs w:val="24"/>
                <w:highlight w:val="none"/>
              </w:rPr>
            </w:pPr>
            <w:r>
              <w:rPr>
                <w:rFonts w:hint="eastAsia" w:ascii="仿宋_GB2312" w:hAnsi="仿宋_GB2312" w:cs="仿宋_GB2312"/>
                <w:color w:val="000000"/>
                <w:kern w:val="0"/>
                <w:sz w:val="24"/>
                <w:szCs w:val="24"/>
                <w:highlight w:val="none"/>
              </w:rPr>
              <w:t>对防范非法宗教、邪教向我校渗透工作不力的。</w:t>
            </w:r>
          </w:p>
        </w:tc>
        <w:tc>
          <w:tcPr>
            <w:tcW w:w="703" w:type="dxa"/>
            <w:tcBorders>
              <w:top w:val="single" w:color="auto" w:sz="8" w:space="0"/>
              <w:left w:val="single" w:color="auto" w:sz="8" w:space="0"/>
              <w:bottom w:val="single" w:color="auto" w:sz="8" w:space="0"/>
              <w:right w:val="single" w:color="auto" w:sz="8" w:space="0"/>
            </w:tcBorders>
            <w:noWrap w:val="0"/>
            <w:vAlign w:val="center"/>
          </w:tcPr>
          <w:p>
            <w:pPr>
              <w:snapToGrid w:val="0"/>
              <w:spacing w:line="320" w:lineRule="exact"/>
              <w:ind w:firstLine="0" w:firstLineChars="0"/>
              <w:jc w:val="center"/>
              <w:rPr>
                <w:rFonts w:ascii="仿宋_GB2312" w:hAnsi="仿宋_GB2312" w:cs="仿宋_GB2312"/>
                <w:color w:val="000000"/>
                <w:sz w:val="24"/>
                <w:szCs w:val="24"/>
                <w:highlight w:val="none"/>
              </w:rPr>
            </w:pPr>
          </w:p>
        </w:tc>
        <w:tc>
          <w:tcPr>
            <w:tcW w:w="1307" w:type="dxa"/>
            <w:tcBorders>
              <w:top w:val="single" w:color="auto" w:sz="8" w:space="0"/>
              <w:left w:val="single" w:color="auto" w:sz="8" w:space="0"/>
              <w:bottom w:val="single" w:color="auto" w:sz="8" w:space="0"/>
              <w:right w:val="single" w:color="auto" w:sz="8" w:space="0"/>
            </w:tcBorders>
            <w:noWrap w:val="0"/>
            <w:vAlign w:val="center"/>
          </w:tcPr>
          <w:p>
            <w:pPr>
              <w:snapToGrid w:val="0"/>
              <w:spacing w:line="320" w:lineRule="exact"/>
              <w:ind w:firstLine="0" w:firstLineChars="0"/>
              <w:jc w:val="center"/>
              <w:rPr>
                <w:rFonts w:ascii="仿宋_GB2312" w:hAnsi="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6" w:type="dxa"/>
            <w:tcBorders>
              <w:top w:val="single" w:color="auto" w:sz="8" w:space="0"/>
              <w:left w:val="single" w:color="auto" w:sz="8" w:space="0"/>
              <w:bottom w:val="single" w:color="auto" w:sz="8" w:space="0"/>
              <w:right w:val="single" w:color="auto" w:sz="8" w:space="0"/>
            </w:tcBorders>
            <w:noWrap w:val="0"/>
            <w:vAlign w:val="center"/>
          </w:tcPr>
          <w:p>
            <w:pPr>
              <w:snapToGrid w:val="0"/>
              <w:spacing w:line="320" w:lineRule="exact"/>
              <w:ind w:firstLine="0" w:firstLineChars="0"/>
              <w:jc w:val="center"/>
              <w:rPr>
                <w:rFonts w:ascii="仿宋_GB2312" w:hAnsi="仿宋_GB2312" w:cs="仿宋_GB2312"/>
                <w:color w:val="000000"/>
                <w:sz w:val="24"/>
                <w:szCs w:val="24"/>
                <w:highlight w:val="none"/>
              </w:rPr>
            </w:pPr>
            <w:r>
              <w:rPr>
                <w:rFonts w:hint="eastAsia" w:ascii="仿宋_GB2312" w:hAnsi="仿宋_GB2312" w:cs="仿宋_GB2312"/>
                <w:color w:val="000000"/>
                <w:kern w:val="0"/>
                <w:sz w:val="24"/>
                <w:szCs w:val="24"/>
                <w:highlight w:val="none"/>
              </w:rPr>
              <w:t>8</w:t>
            </w:r>
          </w:p>
        </w:tc>
        <w:tc>
          <w:tcPr>
            <w:tcW w:w="11628" w:type="dxa"/>
            <w:tcBorders>
              <w:top w:val="single" w:color="auto" w:sz="8" w:space="0"/>
              <w:left w:val="single" w:color="auto" w:sz="8" w:space="0"/>
              <w:bottom w:val="single" w:color="auto" w:sz="8" w:space="0"/>
              <w:right w:val="single" w:color="auto" w:sz="8" w:space="0"/>
            </w:tcBorders>
            <w:noWrap w:val="0"/>
            <w:vAlign w:val="center"/>
          </w:tcPr>
          <w:p>
            <w:pPr>
              <w:snapToGrid w:val="0"/>
              <w:spacing w:line="380" w:lineRule="exact"/>
              <w:ind w:firstLine="0" w:firstLineChars="0"/>
              <w:jc w:val="left"/>
              <w:rPr>
                <w:rFonts w:ascii="仿宋_GB2312" w:hAnsi="仿宋_GB2312" w:cs="仿宋_GB2312"/>
                <w:color w:val="000000"/>
                <w:sz w:val="24"/>
                <w:szCs w:val="24"/>
                <w:highlight w:val="none"/>
              </w:rPr>
            </w:pPr>
            <w:r>
              <w:rPr>
                <w:rFonts w:hint="eastAsia" w:ascii="仿宋_GB2312" w:hAnsi="仿宋_GB2312" w:cs="仿宋_GB2312"/>
                <w:color w:val="000000"/>
                <w:kern w:val="0"/>
                <w:sz w:val="24"/>
                <w:szCs w:val="24"/>
                <w:highlight w:val="none"/>
              </w:rPr>
              <w:t>所负责部门网络意识形态安全出现严重问题的。</w:t>
            </w:r>
          </w:p>
        </w:tc>
        <w:tc>
          <w:tcPr>
            <w:tcW w:w="703" w:type="dxa"/>
            <w:tcBorders>
              <w:top w:val="single" w:color="auto" w:sz="8" w:space="0"/>
              <w:left w:val="single" w:color="auto" w:sz="8" w:space="0"/>
              <w:bottom w:val="single" w:color="auto" w:sz="8" w:space="0"/>
              <w:right w:val="single" w:color="auto" w:sz="8" w:space="0"/>
            </w:tcBorders>
            <w:noWrap w:val="0"/>
            <w:vAlign w:val="center"/>
          </w:tcPr>
          <w:p>
            <w:pPr>
              <w:snapToGrid w:val="0"/>
              <w:spacing w:line="320" w:lineRule="exact"/>
              <w:ind w:firstLine="0" w:firstLineChars="0"/>
              <w:jc w:val="center"/>
              <w:rPr>
                <w:rFonts w:ascii="仿宋_GB2312" w:hAnsi="仿宋_GB2312" w:cs="仿宋_GB2312"/>
                <w:color w:val="000000"/>
                <w:sz w:val="24"/>
                <w:szCs w:val="24"/>
                <w:highlight w:val="none"/>
              </w:rPr>
            </w:pPr>
          </w:p>
        </w:tc>
        <w:tc>
          <w:tcPr>
            <w:tcW w:w="1307" w:type="dxa"/>
            <w:tcBorders>
              <w:top w:val="single" w:color="auto" w:sz="8" w:space="0"/>
              <w:left w:val="single" w:color="auto" w:sz="8" w:space="0"/>
              <w:bottom w:val="single" w:color="auto" w:sz="8" w:space="0"/>
              <w:right w:val="single" w:color="auto" w:sz="8" w:space="0"/>
            </w:tcBorders>
            <w:noWrap w:val="0"/>
            <w:vAlign w:val="center"/>
          </w:tcPr>
          <w:p>
            <w:pPr>
              <w:snapToGrid w:val="0"/>
              <w:spacing w:line="320" w:lineRule="exact"/>
              <w:ind w:firstLine="0" w:firstLineChars="0"/>
              <w:jc w:val="center"/>
              <w:rPr>
                <w:rFonts w:ascii="仿宋_GB2312" w:hAnsi="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jc w:val="center"/>
        </w:trPr>
        <w:tc>
          <w:tcPr>
            <w:tcW w:w="776" w:type="dxa"/>
            <w:tcBorders>
              <w:top w:val="single" w:color="auto" w:sz="8" w:space="0"/>
              <w:left w:val="single" w:color="auto" w:sz="8" w:space="0"/>
              <w:bottom w:val="single" w:color="auto" w:sz="8" w:space="0"/>
              <w:right w:val="single" w:color="auto" w:sz="8" w:space="0"/>
            </w:tcBorders>
            <w:noWrap w:val="0"/>
            <w:vAlign w:val="center"/>
          </w:tcPr>
          <w:p>
            <w:pPr>
              <w:snapToGrid w:val="0"/>
              <w:spacing w:line="320" w:lineRule="exact"/>
              <w:ind w:firstLine="0" w:firstLineChars="0"/>
              <w:jc w:val="center"/>
              <w:rPr>
                <w:rFonts w:ascii="仿宋_GB2312" w:hAnsi="仿宋_GB2312" w:cs="仿宋_GB2312"/>
                <w:color w:val="000000"/>
                <w:sz w:val="24"/>
                <w:szCs w:val="24"/>
                <w:highlight w:val="none"/>
              </w:rPr>
            </w:pPr>
            <w:r>
              <w:rPr>
                <w:rFonts w:hint="eastAsia" w:ascii="仿宋_GB2312" w:hAnsi="仿宋_GB2312" w:cs="仿宋_GB2312"/>
                <w:color w:val="000000"/>
                <w:kern w:val="0"/>
                <w:sz w:val="24"/>
                <w:szCs w:val="24"/>
                <w:highlight w:val="none"/>
              </w:rPr>
              <w:t>9</w:t>
            </w:r>
          </w:p>
        </w:tc>
        <w:tc>
          <w:tcPr>
            <w:tcW w:w="11628" w:type="dxa"/>
            <w:tcBorders>
              <w:top w:val="single" w:color="auto" w:sz="8" w:space="0"/>
              <w:left w:val="single" w:color="auto" w:sz="8" w:space="0"/>
              <w:bottom w:val="single" w:color="auto" w:sz="8" w:space="0"/>
              <w:right w:val="single" w:color="auto" w:sz="8" w:space="0"/>
            </w:tcBorders>
            <w:noWrap w:val="0"/>
            <w:vAlign w:val="center"/>
          </w:tcPr>
          <w:p>
            <w:pPr>
              <w:snapToGrid w:val="0"/>
              <w:spacing w:line="380" w:lineRule="exact"/>
              <w:ind w:firstLine="0" w:firstLineChars="0"/>
              <w:jc w:val="left"/>
              <w:rPr>
                <w:rFonts w:ascii="仿宋_GB2312" w:hAnsi="仿宋_GB2312" w:cs="仿宋_GB2312"/>
                <w:color w:val="000000"/>
                <w:sz w:val="24"/>
                <w:szCs w:val="24"/>
                <w:highlight w:val="none"/>
              </w:rPr>
            </w:pPr>
            <w:r>
              <w:rPr>
                <w:rFonts w:hint="eastAsia" w:ascii="仿宋_GB2312" w:hAnsi="仿宋_GB2312" w:cs="仿宋_GB2312"/>
                <w:color w:val="000000"/>
                <w:kern w:val="0"/>
                <w:sz w:val="24"/>
                <w:szCs w:val="24"/>
                <w:highlight w:val="none"/>
              </w:rPr>
              <w:t>所负责部门举办的报告会、研讨会、讲座、论坛有发表否定党的领导、攻击中国特色社会主义制度言论，造成严重影响的。</w:t>
            </w:r>
          </w:p>
        </w:tc>
        <w:tc>
          <w:tcPr>
            <w:tcW w:w="703" w:type="dxa"/>
            <w:tcBorders>
              <w:top w:val="single" w:color="auto" w:sz="8" w:space="0"/>
              <w:left w:val="single" w:color="auto" w:sz="8" w:space="0"/>
              <w:bottom w:val="single" w:color="auto" w:sz="8" w:space="0"/>
              <w:right w:val="single" w:color="auto" w:sz="8" w:space="0"/>
            </w:tcBorders>
            <w:noWrap w:val="0"/>
            <w:vAlign w:val="center"/>
          </w:tcPr>
          <w:p>
            <w:pPr>
              <w:snapToGrid w:val="0"/>
              <w:spacing w:line="320" w:lineRule="exact"/>
              <w:ind w:firstLine="0" w:firstLineChars="0"/>
              <w:jc w:val="center"/>
              <w:rPr>
                <w:rFonts w:ascii="仿宋_GB2312" w:hAnsi="仿宋_GB2312" w:cs="仿宋_GB2312"/>
                <w:color w:val="000000"/>
                <w:sz w:val="24"/>
                <w:szCs w:val="24"/>
                <w:highlight w:val="none"/>
              </w:rPr>
            </w:pPr>
          </w:p>
        </w:tc>
        <w:tc>
          <w:tcPr>
            <w:tcW w:w="1307" w:type="dxa"/>
            <w:tcBorders>
              <w:top w:val="single" w:color="auto" w:sz="8" w:space="0"/>
              <w:left w:val="single" w:color="auto" w:sz="8" w:space="0"/>
              <w:bottom w:val="single" w:color="auto" w:sz="8" w:space="0"/>
              <w:right w:val="single" w:color="auto" w:sz="8" w:space="0"/>
            </w:tcBorders>
            <w:noWrap w:val="0"/>
            <w:vAlign w:val="center"/>
          </w:tcPr>
          <w:p>
            <w:pPr>
              <w:snapToGrid w:val="0"/>
              <w:spacing w:line="320" w:lineRule="exact"/>
              <w:ind w:firstLine="0" w:firstLineChars="0"/>
              <w:jc w:val="center"/>
              <w:rPr>
                <w:rFonts w:ascii="仿宋_GB2312" w:hAnsi="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76" w:type="dxa"/>
            <w:tcBorders>
              <w:top w:val="single" w:color="auto" w:sz="8" w:space="0"/>
              <w:left w:val="single" w:color="auto" w:sz="8" w:space="0"/>
              <w:bottom w:val="single" w:color="auto" w:sz="8" w:space="0"/>
              <w:right w:val="single" w:color="auto" w:sz="8" w:space="0"/>
            </w:tcBorders>
            <w:noWrap w:val="0"/>
            <w:vAlign w:val="center"/>
          </w:tcPr>
          <w:p>
            <w:pPr>
              <w:snapToGrid w:val="0"/>
              <w:spacing w:line="320" w:lineRule="exact"/>
              <w:ind w:firstLine="0" w:firstLineChars="0"/>
              <w:jc w:val="center"/>
              <w:rPr>
                <w:rFonts w:ascii="仿宋_GB2312" w:hAnsi="仿宋_GB2312" w:cs="仿宋_GB2312"/>
                <w:color w:val="000000"/>
                <w:sz w:val="24"/>
                <w:szCs w:val="24"/>
                <w:highlight w:val="none"/>
              </w:rPr>
            </w:pPr>
            <w:r>
              <w:rPr>
                <w:rFonts w:hint="eastAsia" w:ascii="仿宋_GB2312" w:hAnsi="仿宋_GB2312" w:cs="仿宋_GB2312"/>
                <w:color w:val="000000"/>
                <w:kern w:val="0"/>
                <w:sz w:val="24"/>
                <w:szCs w:val="24"/>
                <w:highlight w:val="none"/>
              </w:rPr>
              <w:t>10</w:t>
            </w:r>
          </w:p>
        </w:tc>
        <w:tc>
          <w:tcPr>
            <w:tcW w:w="11628" w:type="dxa"/>
            <w:tcBorders>
              <w:top w:val="single" w:color="auto" w:sz="8" w:space="0"/>
              <w:left w:val="single" w:color="auto" w:sz="8" w:space="0"/>
              <w:bottom w:val="single" w:color="auto" w:sz="8" w:space="0"/>
              <w:right w:val="single" w:color="auto" w:sz="8" w:space="0"/>
            </w:tcBorders>
            <w:noWrap w:val="0"/>
            <w:vAlign w:val="center"/>
          </w:tcPr>
          <w:p>
            <w:pPr>
              <w:snapToGrid w:val="0"/>
              <w:spacing w:line="380" w:lineRule="exact"/>
              <w:ind w:firstLine="0" w:firstLineChars="0"/>
              <w:jc w:val="left"/>
              <w:rPr>
                <w:rFonts w:ascii="仿宋_GB2312" w:hAnsi="仿宋_GB2312" w:cs="仿宋_GB2312"/>
                <w:color w:val="000000"/>
                <w:sz w:val="24"/>
                <w:szCs w:val="24"/>
                <w:highlight w:val="none"/>
              </w:rPr>
            </w:pPr>
            <w:r>
              <w:rPr>
                <w:rFonts w:hint="eastAsia" w:ascii="仿宋_GB2312" w:hAnsi="仿宋_GB2312" w:cs="仿宋_GB2312"/>
                <w:color w:val="000000"/>
                <w:kern w:val="0"/>
                <w:sz w:val="24"/>
                <w:szCs w:val="24"/>
                <w:highlight w:val="none"/>
              </w:rPr>
              <w:t>其他未能切实履行工作职责，造成严重后果的。</w:t>
            </w:r>
          </w:p>
        </w:tc>
        <w:tc>
          <w:tcPr>
            <w:tcW w:w="703" w:type="dxa"/>
            <w:tcBorders>
              <w:top w:val="single" w:color="auto" w:sz="8" w:space="0"/>
              <w:left w:val="single" w:color="auto" w:sz="8" w:space="0"/>
              <w:bottom w:val="single" w:color="auto" w:sz="8" w:space="0"/>
              <w:right w:val="single" w:color="auto" w:sz="8" w:space="0"/>
            </w:tcBorders>
            <w:noWrap w:val="0"/>
            <w:vAlign w:val="center"/>
          </w:tcPr>
          <w:p>
            <w:pPr>
              <w:snapToGrid w:val="0"/>
              <w:spacing w:line="320" w:lineRule="exact"/>
              <w:ind w:firstLine="0" w:firstLineChars="0"/>
              <w:jc w:val="center"/>
              <w:rPr>
                <w:rFonts w:ascii="仿宋_GB2312" w:hAnsi="仿宋_GB2312" w:cs="仿宋_GB2312"/>
                <w:color w:val="000000"/>
                <w:sz w:val="24"/>
                <w:szCs w:val="24"/>
                <w:highlight w:val="none"/>
              </w:rPr>
            </w:pPr>
          </w:p>
        </w:tc>
        <w:tc>
          <w:tcPr>
            <w:tcW w:w="1307" w:type="dxa"/>
            <w:tcBorders>
              <w:top w:val="single" w:color="auto" w:sz="8" w:space="0"/>
              <w:left w:val="single" w:color="auto" w:sz="8" w:space="0"/>
              <w:bottom w:val="single" w:color="auto" w:sz="8" w:space="0"/>
              <w:right w:val="single" w:color="auto" w:sz="8" w:space="0"/>
            </w:tcBorders>
            <w:noWrap w:val="0"/>
            <w:vAlign w:val="center"/>
          </w:tcPr>
          <w:p>
            <w:pPr>
              <w:snapToGrid w:val="0"/>
              <w:spacing w:line="320" w:lineRule="exact"/>
              <w:ind w:firstLine="0" w:firstLineChars="0"/>
              <w:jc w:val="center"/>
              <w:rPr>
                <w:rFonts w:ascii="仿宋_GB2312" w:hAnsi="仿宋_GB2312" w:cs="仿宋_GB2312"/>
                <w:color w:val="000000"/>
                <w:sz w:val="24"/>
                <w:szCs w:val="24"/>
                <w:highlight w:val="none"/>
              </w:rPr>
            </w:pPr>
          </w:p>
        </w:tc>
      </w:tr>
    </w:tbl>
    <w:p>
      <w:pPr>
        <w:pStyle w:val="2"/>
        <w:keepNext w:val="0"/>
        <w:keepLines w:val="0"/>
        <w:pageBreakBefore w:val="0"/>
        <w:widowControl w:val="0"/>
        <w:kinsoku/>
        <w:wordWrap/>
        <w:overflowPunct/>
        <w:topLinePunct w:val="0"/>
        <w:autoSpaceDE/>
        <w:autoSpaceDN/>
        <w:bidi w:val="0"/>
        <w:adjustRightInd/>
        <w:snapToGrid w:val="0"/>
        <w:spacing w:line="586"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highlight w:val="none"/>
        </w:rPr>
        <w:sectPr>
          <w:pgSz w:w="16838" w:h="11906" w:orient="landscape"/>
          <w:pgMar w:top="1588" w:right="1984" w:bottom="1474" w:left="1757" w:header="851" w:footer="1587" w:gutter="0"/>
          <w:pgBorders>
            <w:top w:val="none" w:sz="0" w:space="0"/>
            <w:left w:val="none" w:sz="0" w:space="0"/>
            <w:bottom w:val="none" w:sz="0" w:space="0"/>
            <w:right w:val="none" w:sz="0" w:space="0"/>
          </w:pgBorders>
          <w:pgNumType w:fmt="decimal"/>
          <w:cols w:space="720" w:num="1"/>
          <w:rtlGutter w:val="0"/>
          <w:docGrid w:type="linesAndChars" w:linePitch="595" w:charSpace="-849"/>
        </w:sectPr>
      </w:pPr>
    </w:p>
    <w:p>
      <w:pPr>
        <w:keepNext w:val="0"/>
        <w:keepLines w:val="0"/>
        <w:pageBreakBefore w:val="0"/>
        <w:widowControl/>
        <w:kinsoku/>
        <w:wordWrap/>
        <w:overflowPunct/>
        <w:topLinePunct w:val="0"/>
        <w:autoSpaceDE/>
        <w:autoSpaceDN/>
        <w:bidi w:val="0"/>
        <w:adjustRightInd/>
        <w:snapToGrid w:val="0"/>
        <w:spacing w:line="660" w:lineRule="exact"/>
        <w:ind w:firstLine="0" w:firstLineChars="0"/>
        <w:jc w:val="center"/>
        <w:textAlignment w:val="auto"/>
        <w:rPr>
          <w:rFonts w:hint="eastAsia" w:ascii="方正小标宋简体" w:hAnsi="方正小标宋简体" w:eastAsia="方正小标宋简体" w:cs="方正小标宋简体"/>
          <w:b w:val="0"/>
          <w:bCs w:val="0"/>
          <w:color w:val="000000"/>
          <w:sz w:val="44"/>
          <w:szCs w:val="44"/>
          <w:highlight w:val="none"/>
          <w:lang w:val="en-US" w:eastAsia="zh-CN"/>
        </w:rPr>
      </w:pPr>
      <w:bookmarkStart w:id="39" w:name="_Toc15329"/>
      <w:r>
        <w:rPr>
          <w:rFonts w:hint="eastAsia" w:ascii="方正小标宋简体" w:hAnsi="方正小标宋简体" w:eastAsia="方正小标宋简体" w:cs="方正小标宋简体"/>
          <w:b w:val="0"/>
          <w:bCs w:val="0"/>
          <w:color w:val="000000"/>
          <w:sz w:val="44"/>
          <w:szCs w:val="44"/>
          <w:highlight w:val="none"/>
          <w:lang w:val="en-US" w:eastAsia="zh-CN"/>
        </w:rPr>
        <w:t>党组织按期换届提醒制度</w:t>
      </w:r>
      <w:bookmarkEnd w:id="39"/>
    </w:p>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both"/>
        <w:textAlignment w:val="auto"/>
        <w:rPr>
          <w:rFonts w:hint="eastAsia" w:ascii="方正小标宋简体" w:hAnsi="方正小标宋简体" w:eastAsia="方正小标宋简体" w:cs="方正小标宋简体"/>
          <w:b w:val="0"/>
          <w:bCs w:val="0"/>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黑体" w:hAnsi="黑体" w:eastAsia="黑体" w:cs="黑体"/>
          <w:color w:val="000000"/>
          <w:sz w:val="32"/>
          <w:szCs w:val="32"/>
          <w:highlight w:val="none"/>
        </w:rPr>
        <w:t>第一条</w:t>
      </w:r>
      <w:r>
        <w:rPr>
          <w:rFonts w:hint="eastAsia" w:ascii="仿宋_GB2312" w:hAnsi="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为推动全面从严治党不断向基层延伸，进一步加强基层党组织建设，严格规范基层党组织换届工作，根据《中国共产党章程》《中国共产党基层组织选举工作条例》《中国共产党普通高等学校基层组织工作条例》有关规定</w:t>
      </w:r>
      <w:r>
        <w:rPr>
          <w:rFonts w:hint="eastAsia" w:ascii="仿宋_GB2312" w:hAnsi="仿宋_GB2312" w:eastAsia="仿宋_GB2312" w:cs="仿宋_GB2312"/>
          <w:color w:val="000000"/>
          <w:sz w:val="32"/>
          <w:szCs w:val="32"/>
          <w:highlight w:val="none"/>
          <w:lang w:val="en-US" w:eastAsia="zh-CN"/>
        </w:rPr>
        <w:t>及《中央组织部关于建立健全基层党组织按期换届提醒督促机制的通知》文件精神</w:t>
      </w:r>
      <w:r>
        <w:rPr>
          <w:rFonts w:hint="eastAsia" w:ascii="仿宋_GB2312" w:hAnsi="仿宋_GB2312" w:eastAsia="仿宋_GB2312" w:cs="仿宋_GB2312"/>
          <w:color w:val="000000"/>
          <w:sz w:val="32"/>
          <w:szCs w:val="32"/>
          <w:highlight w:val="none"/>
        </w:rPr>
        <w:t>，结合学校实际，制定本制度。</w:t>
      </w:r>
      <w:r>
        <w:rPr>
          <w:rFonts w:hint="eastAsia" w:ascii="仿宋_GB2312" w:hAnsi="仿宋_GB2312" w:eastAsia="仿宋_GB2312" w:cs="仿宋_GB2312"/>
          <w:color w:val="000000"/>
          <w:sz w:val="32"/>
          <w:szCs w:val="32"/>
          <w:highlight w:val="none"/>
        </w:rPr>
        <w:br w:type="textWrapping"/>
      </w:r>
      <w:r>
        <w:rPr>
          <w:rFonts w:hint="eastAsia" w:ascii="仿宋_GB2312" w:hAnsi="仿宋_GB2312" w:eastAsia="仿宋_GB2312" w:cs="仿宋_GB2312"/>
          <w:color w:val="000000"/>
          <w:sz w:val="32"/>
          <w:szCs w:val="32"/>
          <w:highlight w:val="none"/>
        </w:rPr>
        <w:t>　　</w:t>
      </w:r>
      <w:r>
        <w:rPr>
          <w:rFonts w:hint="eastAsia" w:ascii="黑体" w:hAnsi="黑体" w:eastAsia="黑体" w:cs="黑体"/>
          <w:color w:val="000000"/>
          <w:sz w:val="32"/>
          <w:szCs w:val="32"/>
          <w:highlight w:val="none"/>
        </w:rPr>
        <w:t>第二条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基层党组织按期换届，是严肃党内政治生活、增强基层党组织政治功能、保障党员民主权利的一项基本制度，是推动全面从严治党向基层延伸的必然要求。按期做好基层党组织的换届工作，是适应新形势新任务，进一步加强基层党组织领导班子建设、提高党建工作水平、增强党组织凝聚力和战斗力的需要。</w:t>
      </w:r>
      <w:r>
        <w:rPr>
          <w:rFonts w:hint="eastAsia" w:ascii="仿宋_GB2312" w:hAnsi="仿宋_GB2312" w:eastAsia="仿宋_GB2312" w:cs="仿宋_GB2312"/>
          <w:color w:val="000000"/>
          <w:sz w:val="32"/>
          <w:szCs w:val="32"/>
          <w:highlight w:val="none"/>
        </w:rPr>
        <w:br w:type="textWrapping"/>
      </w:r>
      <w:r>
        <w:rPr>
          <w:rFonts w:hint="eastAsia" w:ascii="仿宋_GB2312" w:hAnsi="仿宋_GB2312" w:eastAsia="仿宋_GB2312" w:cs="仿宋_GB2312"/>
          <w:color w:val="000000"/>
          <w:sz w:val="32"/>
          <w:szCs w:val="32"/>
          <w:highlight w:val="none"/>
        </w:rPr>
        <w:t>　　</w:t>
      </w:r>
      <w:r>
        <w:rPr>
          <w:rFonts w:hint="eastAsia" w:ascii="黑体" w:hAnsi="黑体" w:eastAsia="黑体" w:cs="黑体"/>
          <w:color w:val="000000"/>
          <w:sz w:val="32"/>
          <w:szCs w:val="32"/>
          <w:highlight w:val="none"/>
        </w:rPr>
        <w:t>第三条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院（系）级党组织（党总支）每届任期一般为5年。党支部委员会和不设支部委员会的支部书记、副书记每届任期一般为3年。</w:t>
      </w:r>
      <w:r>
        <w:rPr>
          <w:rFonts w:hint="eastAsia" w:ascii="仿宋_GB2312" w:hAnsi="仿宋_GB2312" w:eastAsia="仿宋_GB2312" w:cs="仿宋_GB2312"/>
          <w:color w:val="000000"/>
          <w:sz w:val="32"/>
          <w:szCs w:val="32"/>
          <w:highlight w:val="none"/>
        </w:rPr>
        <w:br w:type="textWrapping"/>
      </w:r>
      <w:r>
        <w:rPr>
          <w:rFonts w:hint="eastAsia" w:ascii="仿宋_GB2312" w:hAnsi="仿宋_GB2312" w:eastAsia="仿宋_GB2312" w:cs="仿宋_GB2312"/>
          <w:color w:val="000000"/>
          <w:sz w:val="32"/>
          <w:szCs w:val="32"/>
          <w:highlight w:val="none"/>
        </w:rPr>
        <w:t>　　</w:t>
      </w:r>
      <w:r>
        <w:rPr>
          <w:rFonts w:hint="eastAsia" w:ascii="黑体" w:hAnsi="黑体" w:eastAsia="黑体" w:cs="黑体"/>
          <w:color w:val="000000"/>
          <w:sz w:val="32"/>
          <w:szCs w:val="32"/>
          <w:highlight w:val="none"/>
        </w:rPr>
        <w:t>第四条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实施“提醒制度”的程序。</w:t>
      </w:r>
      <w:r>
        <w:rPr>
          <w:rFonts w:hint="eastAsia" w:ascii="仿宋_GB2312" w:hAnsi="仿宋_GB2312" w:eastAsia="仿宋_GB2312" w:cs="仿宋_GB2312"/>
          <w:color w:val="000000"/>
          <w:sz w:val="32"/>
          <w:szCs w:val="32"/>
          <w:highlight w:val="none"/>
        </w:rPr>
        <w:br w:type="textWrapping"/>
      </w:r>
      <w:r>
        <w:rPr>
          <w:rFonts w:hint="eastAsia" w:ascii="仿宋_GB2312" w:hAnsi="仿宋_GB2312" w:eastAsia="仿宋_GB2312" w:cs="仿宋_GB2312"/>
          <w:color w:val="000000"/>
          <w:sz w:val="32"/>
          <w:szCs w:val="32"/>
          <w:highlight w:val="none"/>
        </w:rPr>
        <w:t>　　</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一</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对任期将满的基层党组织，上级党组织一般应提前6个月以书面发函通知等形式，提醒做好换届准备工作</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（二）党总支按期换届由学校党委组织部负责提醒督促；</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（三）</w:t>
      </w:r>
      <w:r>
        <w:rPr>
          <w:rFonts w:hint="eastAsia" w:ascii="仿宋_GB2312" w:hAnsi="仿宋_GB2312" w:eastAsia="仿宋_GB2312" w:cs="仿宋_GB2312"/>
          <w:color w:val="000000"/>
          <w:sz w:val="32"/>
          <w:szCs w:val="32"/>
          <w:highlight w:val="none"/>
        </w:rPr>
        <w:t>党总支接到通知后，必须在一个月内研究确定换届选举时间，并以书面形式上报校党委组织部备案；　</w:t>
      </w:r>
      <w:r>
        <w:rPr>
          <w:rFonts w:hint="eastAsia" w:ascii="仿宋_GB2312" w:hAnsi="仿宋_GB2312" w:eastAsia="仿宋_GB2312" w:cs="仿宋_GB2312"/>
          <w:color w:val="000000"/>
          <w:sz w:val="32"/>
          <w:szCs w:val="32"/>
          <w:highlight w:val="none"/>
        </w:rPr>
        <w:br w:type="textWrapping"/>
      </w:r>
      <w:r>
        <w:rPr>
          <w:rFonts w:hint="eastAsia" w:ascii="仿宋_GB2312" w:hAnsi="仿宋_GB2312" w:eastAsia="仿宋_GB2312" w:cs="仿宋_GB2312"/>
          <w:color w:val="000000"/>
          <w:sz w:val="32"/>
          <w:szCs w:val="32"/>
          <w:highlight w:val="none"/>
        </w:rPr>
        <w:t>　　</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四）</w:t>
      </w:r>
      <w:r>
        <w:rPr>
          <w:rFonts w:hint="eastAsia" w:ascii="仿宋_GB2312" w:hAnsi="仿宋_GB2312" w:eastAsia="仿宋_GB2312" w:cs="仿宋_GB2312"/>
          <w:color w:val="000000"/>
          <w:sz w:val="32"/>
          <w:szCs w:val="32"/>
          <w:highlight w:val="none"/>
        </w:rPr>
        <w:t>党总支换届选举后一周内向校党委报告选举结果；</w:t>
      </w:r>
      <w:r>
        <w:rPr>
          <w:rFonts w:hint="eastAsia" w:ascii="仿宋_GB2312" w:hAnsi="仿宋_GB2312" w:eastAsia="仿宋_GB2312" w:cs="仿宋_GB2312"/>
          <w:color w:val="000000"/>
          <w:sz w:val="32"/>
          <w:szCs w:val="32"/>
          <w:highlight w:val="none"/>
        </w:rPr>
        <w:br w:type="textWrapping"/>
      </w:r>
      <w:r>
        <w:rPr>
          <w:rFonts w:hint="eastAsia" w:ascii="仿宋_GB2312" w:hAnsi="仿宋_GB2312" w:eastAsia="仿宋_GB2312" w:cs="仿宋_GB2312"/>
          <w:color w:val="000000"/>
          <w:sz w:val="32"/>
          <w:szCs w:val="32"/>
          <w:highlight w:val="none"/>
        </w:rPr>
        <w:t>　　</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五）</w:t>
      </w:r>
      <w:r>
        <w:rPr>
          <w:rFonts w:hint="eastAsia" w:ascii="仿宋_GB2312" w:hAnsi="仿宋_GB2312" w:eastAsia="仿宋_GB2312" w:cs="仿宋_GB2312"/>
          <w:color w:val="000000"/>
          <w:sz w:val="32"/>
          <w:szCs w:val="32"/>
          <w:highlight w:val="none"/>
        </w:rPr>
        <w:t>校党委接到选举结果请示后一周内予以批复</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rPr>
        <w:t>第五条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各党总支、党支部任期届满后，应按期进行换届选举。如有特殊情况需提前或延期进行换届选举，需经校党委批准。</w:t>
      </w:r>
      <w:r>
        <w:rPr>
          <w:rFonts w:hint="eastAsia" w:ascii="仿宋_GB2312" w:hAnsi="仿宋_GB2312" w:eastAsia="仿宋_GB2312" w:cs="仿宋_GB2312"/>
          <w:color w:val="000000"/>
          <w:sz w:val="32"/>
          <w:szCs w:val="32"/>
          <w:highlight w:val="none"/>
        </w:rPr>
        <w:br w:type="textWrapping"/>
      </w:r>
      <w:r>
        <w:rPr>
          <w:rFonts w:hint="eastAsia" w:ascii="仿宋_GB2312" w:hAnsi="仿宋_GB2312" w:eastAsia="仿宋_GB2312" w:cs="仿宋_GB2312"/>
          <w:color w:val="000000"/>
          <w:sz w:val="32"/>
          <w:szCs w:val="32"/>
          <w:highlight w:val="none"/>
        </w:rPr>
        <w:t>　　</w:t>
      </w:r>
      <w:r>
        <w:rPr>
          <w:rFonts w:hint="eastAsia" w:ascii="黑体" w:hAnsi="黑体" w:eastAsia="黑体" w:cs="黑体"/>
          <w:color w:val="000000"/>
          <w:sz w:val="32"/>
          <w:szCs w:val="32"/>
          <w:highlight w:val="none"/>
        </w:rPr>
        <w:t>第六条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提前换届选举的几种特殊情况：</w:t>
      </w:r>
      <w:r>
        <w:rPr>
          <w:rFonts w:hint="eastAsia" w:ascii="仿宋_GB2312" w:hAnsi="仿宋_GB2312" w:eastAsia="仿宋_GB2312" w:cs="仿宋_GB2312"/>
          <w:color w:val="000000"/>
          <w:sz w:val="32"/>
          <w:szCs w:val="32"/>
          <w:highlight w:val="none"/>
        </w:rPr>
        <w:br w:type="textWrapping"/>
      </w:r>
      <w:r>
        <w:rPr>
          <w:rFonts w:hint="eastAsia" w:ascii="仿宋_GB2312" w:hAnsi="仿宋_GB2312" w:eastAsia="仿宋_GB2312" w:cs="仿宋_GB2312"/>
          <w:color w:val="000000"/>
          <w:sz w:val="32"/>
          <w:szCs w:val="32"/>
          <w:highlight w:val="none"/>
        </w:rPr>
        <w:t>　　</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一</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委员缺额较多，使党组织工作受到影响的;</w:t>
      </w:r>
      <w:r>
        <w:rPr>
          <w:rFonts w:hint="eastAsia" w:ascii="仿宋_GB2312" w:hAnsi="仿宋_GB2312" w:eastAsia="仿宋_GB2312" w:cs="仿宋_GB2312"/>
          <w:color w:val="000000"/>
          <w:sz w:val="32"/>
          <w:szCs w:val="32"/>
          <w:highlight w:val="none"/>
        </w:rPr>
        <w:br w:type="textWrapping"/>
      </w:r>
      <w:r>
        <w:rPr>
          <w:rFonts w:hint="eastAsia" w:ascii="仿宋_GB2312" w:hAnsi="仿宋_GB2312" w:eastAsia="仿宋_GB2312" w:cs="仿宋_GB2312"/>
          <w:color w:val="000000"/>
          <w:sz w:val="32"/>
          <w:szCs w:val="32"/>
          <w:highlight w:val="none"/>
        </w:rPr>
        <w:t>　　</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二</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委员会班子存在严重问题，党员强烈要求改选的;</w:t>
      </w:r>
      <w:r>
        <w:rPr>
          <w:rFonts w:hint="eastAsia" w:ascii="仿宋_GB2312" w:hAnsi="仿宋_GB2312" w:eastAsia="仿宋_GB2312" w:cs="仿宋_GB2312"/>
          <w:color w:val="000000"/>
          <w:sz w:val="32"/>
          <w:szCs w:val="32"/>
          <w:highlight w:val="none"/>
        </w:rPr>
        <w:br w:type="textWrapping"/>
      </w:r>
      <w:r>
        <w:rPr>
          <w:rFonts w:hint="eastAsia" w:ascii="仿宋_GB2312" w:hAnsi="仿宋_GB2312" w:eastAsia="仿宋_GB2312" w:cs="仿宋_GB2312"/>
          <w:color w:val="000000"/>
          <w:sz w:val="32"/>
          <w:szCs w:val="32"/>
          <w:highlight w:val="none"/>
        </w:rPr>
        <w:t>　　</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三</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由于其他原因，上级党组织决定提前改选的。</w:t>
      </w:r>
      <w:r>
        <w:rPr>
          <w:rFonts w:hint="eastAsia" w:ascii="仿宋_GB2312" w:hAnsi="仿宋_GB2312" w:eastAsia="仿宋_GB2312" w:cs="仿宋_GB2312"/>
          <w:color w:val="000000"/>
          <w:sz w:val="32"/>
          <w:szCs w:val="32"/>
          <w:highlight w:val="none"/>
        </w:rPr>
        <w:br w:type="textWrapping"/>
      </w:r>
      <w:r>
        <w:rPr>
          <w:rFonts w:hint="eastAsia" w:ascii="仿宋_GB2312" w:hAnsi="仿宋_GB2312" w:eastAsia="仿宋_GB2312" w:cs="仿宋_GB2312"/>
          <w:color w:val="000000"/>
          <w:sz w:val="32"/>
          <w:szCs w:val="32"/>
          <w:highlight w:val="none"/>
        </w:rPr>
        <w:t>　　</w:t>
      </w:r>
      <w:r>
        <w:rPr>
          <w:rFonts w:hint="eastAsia" w:ascii="黑体" w:hAnsi="黑体" w:eastAsia="黑体" w:cs="黑体"/>
          <w:color w:val="000000"/>
          <w:sz w:val="32"/>
          <w:szCs w:val="32"/>
          <w:highlight w:val="none"/>
        </w:rPr>
        <w:t>第七条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延期换届选举的几种特殊情况：</w:t>
      </w:r>
      <w:r>
        <w:rPr>
          <w:rFonts w:hint="eastAsia" w:ascii="仿宋_GB2312" w:hAnsi="仿宋_GB2312" w:eastAsia="仿宋_GB2312" w:cs="仿宋_GB2312"/>
          <w:color w:val="000000"/>
          <w:sz w:val="32"/>
          <w:szCs w:val="32"/>
          <w:highlight w:val="none"/>
        </w:rPr>
        <w:br w:type="textWrapping"/>
      </w:r>
      <w:r>
        <w:rPr>
          <w:rFonts w:hint="eastAsia" w:ascii="仿宋_GB2312" w:hAnsi="仿宋_GB2312" w:eastAsia="仿宋_GB2312" w:cs="仿宋_GB2312"/>
          <w:color w:val="000000"/>
          <w:sz w:val="32"/>
          <w:szCs w:val="32"/>
          <w:highlight w:val="none"/>
        </w:rPr>
        <w:t>　　</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一</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两名以上委员外出，无法按期选举的;</w:t>
      </w:r>
      <w:r>
        <w:rPr>
          <w:rFonts w:hint="eastAsia" w:ascii="仿宋_GB2312" w:hAnsi="仿宋_GB2312" w:eastAsia="仿宋_GB2312" w:cs="仿宋_GB2312"/>
          <w:color w:val="000000"/>
          <w:sz w:val="32"/>
          <w:szCs w:val="32"/>
          <w:highlight w:val="none"/>
        </w:rPr>
        <w:br w:type="textWrapping"/>
      </w:r>
      <w:r>
        <w:rPr>
          <w:rFonts w:hint="eastAsia" w:ascii="仿宋_GB2312" w:hAnsi="仿宋_GB2312" w:eastAsia="仿宋_GB2312" w:cs="仿宋_GB2312"/>
          <w:color w:val="000000"/>
          <w:sz w:val="32"/>
          <w:szCs w:val="32"/>
          <w:highlight w:val="none"/>
        </w:rPr>
        <w:t>　　</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二</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任期届满时，正集中一段时间完成某项紧迫任务难以改选的;</w:t>
      </w:r>
      <w:r>
        <w:rPr>
          <w:rFonts w:hint="eastAsia" w:ascii="仿宋_GB2312" w:hAnsi="仿宋_GB2312" w:eastAsia="仿宋_GB2312" w:cs="仿宋_GB2312"/>
          <w:color w:val="000000"/>
          <w:sz w:val="32"/>
          <w:szCs w:val="32"/>
          <w:highlight w:val="none"/>
        </w:rPr>
        <w:br w:type="textWrapping"/>
      </w:r>
      <w:r>
        <w:rPr>
          <w:rFonts w:hint="eastAsia" w:ascii="仿宋_GB2312" w:hAnsi="仿宋_GB2312" w:eastAsia="仿宋_GB2312" w:cs="仿宋_GB2312"/>
          <w:color w:val="000000"/>
          <w:sz w:val="32"/>
          <w:szCs w:val="32"/>
          <w:highlight w:val="none"/>
        </w:rPr>
        <w:t>　　</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三</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遇到某些突发性事件或自然灾害等，党组织必须全力以赴去处理的;</w:t>
      </w:r>
      <w:r>
        <w:rPr>
          <w:rFonts w:hint="eastAsia" w:ascii="仿宋_GB2312" w:hAnsi="仿宋_GB2312" w:eastAsia="仿宋_GB2312" w:cs="仿宋_GB2312"/>
          <w:color w:val="000000"/>
          <w:sz w:val="32"/>
          <w:szCs w:val="32"/>
          <w:highlight w:val="none"/>
        </w:rPr>
        <w:br w:type="textWrapping"/>
      </w:r>
      <w:r>
        <w:rPr>
          <w:rFonts w:hint="eastAsia" w:ascii="仿宋_GB2312" w:hAnsi="仿宋_GB2312" w:eastAsia="仿宋_GB2312" w:cs="仿宋_GB2312"/>
          <w:color w:val="000000"/>
          <w:sz w:val="32"/>
          <w:szCs w:val="32"/>
          <w:highlight w:val="none"/>
        </w:rPr>
        <w:t>　　</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四</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党组织存在问题正在进行整顿，改选条件不具备的;</w:t>
      </w:r>
      <w:r>
        <w:rPr>
          <w:rFonts w:hint="eastAsia" w:ascii="仿宋_GB2312" w:hAnsi="仿宋_GB2312" w:eastAsia="仿宋_GB2312" w:cs="仿宋_GB2312"/>
          <w:color w:val="000000"/>
          <w:sz w:val="32"/>
          <w:szCs w:val="32"/>
          <w:highlight w:val="none"/>
        </w:rPr>
        <w:br w:type="textWrapping"/>
      </w:r>
      <w:r>
        <w:rPr>
          <w:rFonts w:hint="eastAsia" w:ascii="仿宋_GB2312" w:hAnsi="仿宋_GB2312" w:eastAsia="仿宋_GB2312" w:cs="仿宋_GB2312"/>
          <w:color w:val="000000"/>
          <w:sz w:val="32"/>
          <w:szCs w:val="32"/>
          <w:highlight w:val="none"/>
        </w:rPr>
        <w:t>　　</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五</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党员外出较多，达不到大会规定人数的;</w:t>
      </w:r>
      <w:r>
        <w:rPr>
          <w:rFonts w:hint="eastAsia" w:ascii="仿宋_GB2312" w:hAnsi="仿宋_GB2312" w:eastAsia="仿宋_GB2312" w:cs="仿宋_GB2312"/>
          <w:color w:val="000000"/>
          <w:sz w:val="32"/>
          <w:szCs w:val="32"/>
          <w:highlight w:val="none"/>
        </w:rPr>
        <w:br w:type="textWrapping"/>
      </w:r>
      <w:r>
        <w:rPr>
          <w:rFonts w:hint="eastAsia" w:ascii="仿宋_GB2312" w:hAnsi="仿宋_GB2312" w:eastAsia="仿宋_GB2312" w:cs="仿宋_GB2312"/>
          <w:color w:val="000000"/>
          <w:sz w:val="32"/>
          <w:szCs w:val="32"/>
          <w:highlight w:val="none"/>
        </w:rPr>
        <w:t>　　</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六</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新建立的单位，选举条件不成熟的;</w:t>
      </w:r>
      <w:r>
        <w:rPr>
          <w:rFonts w:hint="eastAsia" w:ascii="仿宋_GB2312" w:hAnsi="仿宋_GB2312" w:eastAsia="仿宋_GB2312" w:cs="仿宋_GB2312"/>
          <w:color w:val="000000"/>
          <w:sz w:val="32"/>
          <w:szCs w:val="32"/>
          <w:highlight w:val="none"/>
        </w:rPr>
        <w:br w:type="textWrapping"/>
      </w:r>
      <w:r>
        <w:rPr>
          <w:rFonts w:hint="eastAsia" w:ascii="仿宋_GB2312" w:hAnsi="仿宋_GB2312" w:eastAsia="仿宋_GB2312" w:cs="仿宋_GB2312"/>
          <w:color w:val="000000"/>
          <w:sz w:val="32"/>
          <w:szCs w:val="32"/>
          <w:highlight w:val="none"/>
        </w:rPr>
        <w:t>　　</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由于其他原因，上级党组织决定延期改选的。</w:t>
      </w:r>
      <w:r>
        <w:rPr>
          <w:rFonts w:hint="eastAsia" w:ascii="仿宋_GB2312" w:hAnsi="仿宋_GB2312" w:eastAsia="仿宋_GB2312" w:cs="仿宋_GB2312"/>
          <w:color w:val="000000"/>
          <w:sz w:val="32"/>
          <w:szCs w:val="32"/>
          <w:highlight w:val="none"/>
        </w:rPr>
        <w:br w:type="textWrapping"/>
      </w:r>
      <w:r>
        <w:rPr>
          <w:rFonts w:hint="eastAsia" w:ascii="仿宋_GB2312" w:hAnsi="仿宋_GB2312" w:eastAsia="仿宋_GB2312" w:cs="仿宋_GB2312"/>
          <w:color w:val="000000"/>
          <w:sz w:val="32"/>
          <w:szCs w:val="32"/>
          <w:highlight w:val="none"/>
        </w:rPr>
        <w:t>　　</w:t>
      </w:r>
      <w:r>
        <w:rPr>
          <w:rFonts w:hint="eastAsia" w:ascii="黑体" w:hAnsi="黑体" w:eastAsia="黑体" w:cs="黑体"/>
          <w:color w:val="000000"/>
          <w:sz w:val="32"/>
          <w:szCs w:val="32"/>
          <w:highlight w:val="none"/>
        </w:rPr>
        <w:t>第八条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延长换届选举时间的延长期一般不超过1年。</w:t>
      </w:r>
      <w:r>
        <w:rPr>
          <w:rFonts w:hint="eastAsia" w:ascii="仿宋_GB2312" w:hAnsi="仿宋_GB2312" w:eastAsia="仿宋_GB2312" w:cs="仿宋_GB2312"/>
          <w:color w:val="000000"/>
          <w:sz w:val="32"/>
          <w:szCs w:val="32"/>
          <w:highlight w:val="none"/>
        </w:rPr>
        <w:br w:type="textWrapping"/>
      </w:r>
      <w:r>
        <w:rPr>
          <w:rFonts w:hint="eastAsia" w:ascii="仿宋_GB2312" w:hAnsi="仿宋_GB2312" w:eastAsia="仿宋_GB2312" w:cs="仿宋_GB2312"/>
          <w:color w:val="000000"/>
          <w:sz w:val="32"/>
          <w:szCs w:val="32"/>
          <w:highlight w:val="none"/>
        </w:rPr>
        <w:t>　　</w:t>
      </w:r>
      <w:r>
        <w:rPr>
          <w:rFonts w:hint="eastAsia" w:ascii="黑体" w:hAnsi="黑体" w:eastAsia="黑体" w:cs="黑体"/>
          <w:color w:val="000000"/>
          <w:sz w:val="32"/>
          <w:szCs w:val="32"/>
          <w:highlight w:val="none"/>
        </w:rPr>
        <w:t>第九条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校党委将对无故延期换届的党组织采取相应的组织措施。</w:t>
      </w:r>
      <w:r>
        <w:rPr>
          <w:rFonts w:hint="eastAsia" w:ascii="仿宋_GB2312" w:hAnsi="仿宋_GB2312" w:eastAsia="仿宋_GB2312" w:cs="仿宋_GB2312"/>
          <w:color w:val="000000"/>
          <w:sz w:val="32"/>
          <w:szCs w:val="32"/>
          <w:highlight w:val="none"/>
        </w:rPr>
        <w:br w:type="textWrapping"/>
      </w:r>
      <w:r>
        <w:rPr>
          <w:rFonts w:hint="eastAsia" w:ascii="仿宋_GB2312" w:hAnsi="仿宋_GB2312" w:eastAsia="仿宋_GB2312" w:cs="仿宋_GB2312"/>
          <w:color w:val="000000"/>
          <w:sz w:val="32"/>
          <w:szCs w:val="32"/>
          <w:highlight w:val="none"/>
        </w:rPr>
        <w:t>　　</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一</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对无故延期三个月不换届的基层党组织，下发《限期换届通知书》；</w:t>
      </w:r>
      <w:r>
        <w:rPr>
          <w:rFonts w:hint="eastAsia" w:ascii="仿宋_GB2312" w:hAnsi="仿宋_GB2312" w:eastAsia="仿宋_GB2312" w:cs="仿宋_GB2312"/>
          <w:color w:val="000000"/>
          <w:sz w:val="32"/>
          <w:szCs w:val="32"/>
          <w:highlight w:val="none"/>
        </w:rPr>
        <w:br w:type="textWrapping"/>
      </w:r>
      <w:r>
        <w:rPr>
          <w:rFonts w:hint="eastAsia" w:ascii="仿宋_GB2312" w:hAnsi="仿宋_GB2312" w:eastAsia="仿宋_GB2312" w:cs="仿宋_GB2312"/>
          <w:color w:val="000000"/>
          <w:sz w:val="32"/>
          <w:szCs w:val="32"/>
          <w:highlight w:val="none"/>
        </w:rPr>
        <w:t>　　</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二</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对无故延期六个月不换届的，予以通报批评；</w:t>
      </w:r>
      <w:r>
        <w:rPr>
          <w:rFonts w:hint="eastAsia" w:ascii="仿宋_GB2312" w:hAnsi="仿宋_GB2312" w:eastAsia="仿宋_GB2312" w:cs="仿宋_GB2312"/>
          <w:color w:val="000000"/>
          <w:sz w:val="32"/>
          <w:szCs w:val="32"/>
          <w:highlight w:val="none"/>
        </w:rPr>
        <w:br w:type="textWrapping"/>
      </w:r>
      <w:r>
        <w:rPr>
          <w:rFonts w:hint="eastAsia" w:ascii="仿宋_GB2312" w:hAnsi="仿宋_GB2312" w:eastAsia="仿宋_GB2312" w:cs="仿宋_GB2312"/>
          <w:color w:val="000000"/>
          <w:sz w:val="32"/>
          <w:szCs w:val="32"/>
          <w:highlight w:val="none"/>
        </w:rPr>
        <w:t>　　</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三</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对延期一年以上不换届的，取消其各类党内评先评优资格</w:t>
      </w:r>
      <w:r>
        <w:rPr>
          <w:rFonts w:hint="eastAsia" w:ascii="仿宋_GB2312" w:hAnsi="仿宋_GB2312" w:eastAsia="仿宋_GB2312" w:cs="仿宋_GB2312"/>
          <w:color w:val="000000"/>
          <w:sz w:val="32"/>
          <w:szCs w:val="32"/>
          <w:highlight w:val="none"/>
          <w:lang w:eastAsia="zh-CN"/>
        </w:rPr>
        <w:t>，同时对基层党组织负责人进行问责。</w:t>
      </w:r>
      <w:r>
        <w:rPr>
          <w:rFonts w:hint="eastAsia" w:ascii="仿宋_GB2312" w:hAnsi="仿宋_GB2312" w:eastAsia="仿宋_GB2312" w:cs="仿宋_GB2312"/>
          <w:color w:val="000000"/>
          <w:sz w:val="32"/>
          <w:szCs w:val="32"/>
          <w:highlight w:val="none"/>
        </w:rPr>
        <w:br w:type="textWrapping"/>
      </w:r>
      <w:r>
        <w:rPr>
          <w:rFonts w:hint="eastAsia" w:ascii="仿宋_GB2312" w:hAnsi="仿宋_GB2312" w:eastAsia="仿宋_GB2312" w:cs="仿宋_GB2312"/>
          <w:color w:val="000000"/>
          <w:sz w:val="32"/>
          <w:szCs w:val="32"/>
          <w:highlight w:val="none"/>
        </w:rPr>
        <w:t>　　</w:t>
      </w:r>
      <w:r>
        <w:rPr>
          <w:rFonts w:hint="eastAsia" w:ascii="黑体" w:hAnsi="黑体" w:eastAsia="黑体" w:cs="黑体"/>
          <w:color w:val="000000"/>
          <w:sz w:val="32"/>
          <w:szCs w:val="32"/>
          <w:highlight w:val="none"/>
        </w:rPr>
        <w:t>第十条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按照党建工作分级管理的原则，各党总支负责对下属党支部实行换届提醒，并参照以上要求和程序执行。</w:t>
      </w:r>
      <w:r>
        <w:rPr>
          <w:rFonts w:hint="eastAsia" w:ascii="仿宋_GB2312" w:hAnsi="仿宋_GB2312" w:eastAsia="仿宋_GB2312" w:cs="仿宋_GB2312"/>
          <w:color w:val="000000"/>
          <w:sz w:val="32"/>
          <w:szCs w:val="32"/>
          <w:highlight w:val="none"/>
        </w:rPr>
        <w:br w:type="textWrapping"/>
      </w:r>
      <w:r>
        <w:rPr>
          <w:rFonts w:hint="eastAsia" w:ascii="仿宋_GB2312" w:hAnsi="仿宋_GB2312" w:eastAsia="仿宋_GB2312" w:cs="仿宋_GB2312"/>
          <w:color w:val="000000"/>
          <w:sz w:val="32"/>
          <w:szCs w:val="32"/>
          <w:highlight w:val="none"/>
        </w:rPr>
        <w:t>　　</w:t>
      </w:r>
      <w:r>
        <w:rPr>
          <w:rFonts w:hint="eastAsia" w:ascii="黑体" w:hAnsi="黑体" w:eastAsia="黑体" w:cs="黑体"/>
          <w:color w:val="000000"/>
          <w:sz w:val="32"/>
          <w:szCs w:val="32"/>
          <w:highlight w:val="none"/>
        </w:rPr>
        <w:t>第十一条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本制度由党委组织部负责解释。</w:t>
      </w:r>
      <w:r>
        <w:rPr>
          <w:rFonts w:hint="eastAsia" w:ascii="仿宋_GB2312" w:hAnsi="仿宋_GB2312" w:eastAsia="仿宋_GB2312" w:cs="仿宋_GB2312"/>
          <w:color w:val="000000"/>
          <w:sz w:val="32"/>
          <w:szCs w:val="32"/>
          <w:highlight w:val="none"/>
        </w:rPr>
        <w:br w:type="textWrapping"/>
      </w:r>
      <w:r>
        <w:rPr>
          <w:rFonts w:hint="eastAsia" w:ascii="仿宋_GB2312" w:hAnsi="仿宋_GB2312" w:eastAsia="仿宋_GB2312" w:cs="仿宋_GB2312"/>
          <w:color w:val="000000"/>
          <w:sz w:val="32"/>
          <w:szCs w:val="32"/>
          <w:highlight w:val="none"/>
        </w:rPr>
        <w:t>　　</w:t>
      </w:r>
      <w:r>
        <w:rPr>
          <w:rFonts w:hint="eastAsia" w:ascii="黑体" w:hAnsi="黑体" w:eastAsia="黑体" w:cs="黑体"/>
          <w:color w:val="000000"/>
          <w:sz w:val="32"/>
          <w:szCs w:val="32"/>
          <w:highlight w:val="none"/>
        </w:rPr>
        <w:t>第十二条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本办法自发布之日起施行。</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仿宋_GB2312" w:hAnsi="仿宋_GB2312" w:eastAsia="仿宋_GB2312" w:cs="仿宋_GB2312"/>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仿宋_GB2312" w:hAnsi="仿宋_GB2312" w:eastAsia="仿宋_GB2312" w:cs="仿宋_GB2312"/>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仿宋_GB2312" w:hAnsi="仿宋_GB2312" w:eastAsia="仿宋_GB2312" w:cs="仿宋_GB2312"/>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仿宋_GB2312" w:hAnsi="仿宋_GB2312" w:eastAsia="仿宋_GB2312" w:cs="仿宋_GB2312"/>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仿宋_GB2312" w:hAnsi="仿宋_GB2312" w:eastAsia="仿宋_GB2312" w:cs="仿宋_GB2312"/>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仿宋_GB2312" w:hAnsi="仿宋_GB2312" w:eastAsia="仿宋_GB2312" w:cs="仿宋_GB2312"/>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仿宋_GB2312" w:hAnsi="仿宋_GB2312" w:eastAsia="仿宋_GB2312" w:cs="仿宋_GB2312"/>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仿宋_GB2312" w:hAnsi="仿宋_GB2312" w:eastAsia="仿宋_GB2312" w:cs="仿宋_GB2312"/>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仿宋_GB2312" w:hAnsi="仿宋_GB2312" w:eastAsia="仿宋_GB2312" w:cs="仿宋_GB2312"/>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仿宋_GB2312" w:hAnsi="仿宋_GB2312" w:eastAsia="仿宋_GB2312" w:cs="仿宋_GB2312"/>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仿宋_GB2312" w:hAnsi="仿宋_GB2312" w:eastAsia="仿宋_GB2312" w:cs="仿宋_GB2312"/>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仿宋_GB2312" w:hAnsi="仿宋_GB2312" w:eastAsia="仿宋_GB2312" w:cs="仿宋_GB2312"/>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仿宋_GB2312" w:hAnsi="仿宋_GB2312" w:eastAsia="仿宋_GB2312" w:cs="仿宋_GB2312"/>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仿宋_GB2312" w:hAnsi="仿宋_GB2312" w:eastAsia="仿宋_GB2312" w:cs="仿宋_GB2312"/>
          <w:color w:val="000000"/>
          <w:sz w:val="32"/>
          <w:szCs w:val="32"/>
          <w:highlight w:val="none"/>
        </w:rPr>
      </w:pPr>
    </w:p>
    <w:p>
      <w:pPr>
        <w:keepNext w:val="0"/>
        <w:keepLines w:val="0"/>
        <w:pageBreakBefore w:val="0"/>
        <w:widowControl/>
        <w:kinsoku/>
        <w:wordWrap/>
        <w:overflowPunct/>
        <w:topLinePunct w:val="0"/>
        <w:autoSpaceDE/>
        <w:autoSpaceDN/>
        <w:bidi w:val="0"/>
        <w:adjustRightInd/>
        <w:snapToGrid w:val="0"/>
        <w:spacing w:after="157" w:afterLines="50" w:line="660" w:lineRule="exact"/>
        <w:ind w:firstLine="0" w:firstLineChars="0"/>
        <w:jc w:val="center"/>
        <w:textAlignment w:val="auto"/>
        <w:rPr>
          <w:rFonts w:hint="eastAsia" w:ascii="方正小标宋简体" w:hAnsi="方正小标宋简体" w:eastAsia="方正小标宋简体" w:cs="方正小标宋简体"/>
          <w:b w:val="0"/>
          <w:bCs w:val="0"/>
          <w:color w:val="000000"/>
          <w:sz w:val="44"/>
          <w:szCs w:val="44"/>
          <w:highlight w:val="none"/>
          <w:lang w:val="en-US" w:eastAsia="zh-CN"/>
        </w:rPr>
      </w:pPr>
      <w:bookmarkStart w:id="40" w:name="_Toc32246"/>
      <w:r>
        <w:rPr>
          <w:rFonts w:hint="eastAsia" w:ascii="方正小标宋简体" w:hAnsi="方正小标宋简体" w:eastAsia="方正小标宋简体" w:cs="方正小标宋简体"/>
          <w:b w:val="0"/>
          <w:bCs w:val="0"/>
          <w:color w:val="000000"/>
          <w:sz w:val="44"/>
          <w:szCs w:val="44"/>
          <w:highlight w:val="none"/>
          <w:lang w:val="en-US" w:eastAsia="zh-CN"/>
        </w:rPr>
        <w:t>党总支书记岗位职责</w:t>
      </w:r>
      <w:bookmarkEnd w:id="40"/>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负责抓好党的思想建设。密切结合学校的中心工作，组织党员学习马克思列宁主义、毛泽东思想、邓小平理论、“三个代表”重要思想、科学发展观、习近平新时代中国特色社会主义思想，学习贯彻党的各项路线、方针、政策，不断提高党员的思想政治素质，使党员在学校各项工作中发挥先锋模范作用。</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二、负责抓好党的组织建设。负责领导和督促检查党支部执行有关党员教育、管理、监督的各项制度，负责主持召开总支委员会、民主生活会，组织好党支部建设目标管理评估、民主评议党员和推优评先活动。</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三、负责制定和实施发展党员工作计划，组织开展多种形式的活动，对入党积极分子进行党的基本知识和党的宗旨教育，及时吸收符合党员条件的优秀分子入党。</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四、负责干部的教育、培养和考察工作。根据党管干部的原则，按照干部管理权限，与行政领导一起，配合学校组织</w:t>
      </w:r>
      <w:r>
        <w:rPr>
          <w:rFonts w:hint="eastAsia" w:ascii="仿宋_GB2312" w:hAnsi="仿宋_GB2312" w:eastAsia="仿宋_GB2312" w:cs="仿宋_GB2312"/>
          <w:color w:val="000000"/>
          <w:sz w:val="32"/>
          <w:szCs w:val="32"/>
          <w:highlight w:val="none"/>
          <w:lang w:eastAsia="zh-CN"/>
        </w:rPr>
        <w:t>人事</w:t>
      </w:r>
      <w:r>
        <w:rPr>
          <w:rFonts w:hint="eastAsia" w:ascii="仿宋_GB2312" w:hAnsi="仿宋_GB2312" w:eastAsia="仿宋_GB2312" w:cs="仿宋_GB2312"/>
          <w:color w:val="000000"/>
          <w:sz w:val="32"/>
          <w:szCs w:val="32"/>
          <w:highlight w:val="none"/>
        </w:rPr>
        <w:t>部门，做好分管的各级干部的选拔、教育、培养、考核和监督工作，做好后备干部的选拔、培养工作，做好系（部）、部门中心班子的调整、配备、建设工作，指导所属党支部做好干部的教育和管理工作。</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五、负责教工和学生的思想政治教育工作。根据学校党委的思想政治工作计划安排，组织开展多种形式的思想政治教育活动，注意开展师生工作、学习、生活、思想等方面情况的调研，有针对性地做好思想教育工作。</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六、负责抓好党风廉政建设。建立、健全所属各级领导干部党风廉政建设责任制，经常对党员、干部进行党风、党纪和政纪教育，协助学校纪监审部门及时查处党员违纪行为，受理党员的控告和申述。</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七、坚持党的民主集中制，遵循集体领导与个人分工负责相结合的原则，落实好党政</w:t>
      </w:r>
      <w:r>
        <w:rPr>
          <w:rFonts w:hint="eastAsia" w:ascii="仿宋_GB2312" w:hAnsi="仿宋_GB2312" w:eastAsia="仿宋_GB2312" w:cs="仿宋_GB2312"/>
          <w:color w:val="000000"/>
          <w:sz w:val="32"/>
          <w:szCs w:val="32"/>
          <w:highlight w:val="none"/>
          <w:lang w:eastAsia="zh-CN"/>
        </w:rPr>
        <w:t>联席</w:t>
      </w:r>
      <w:r>
        <w:rPr>
          <w:rFonts w:hint="eastAsia" w:ascii="仿宋_GB2312" w:hAnsi="仿宋_GB2312" w:eastAsia="仿宋_GB2312" w:cs="仿宋_GB2312"/>
          <w:color w:val="000000"/>
          <w:sz w:val="32"/>
          <w:szCs w:val="32"/>
          <w:highlight w:val="none"/>
        </w:rPr>
        <w:t>会议制度，带领支委积极支持行政领导按其职责权限充分行使职权，参与本单位发展规划、专业设</w:t>
      </w:r>
      <w:r>
        <w:rPr>
          <w:rFonts w:hint="eastAsia" w:ascii="仿宋_GB2312" w:hAnsi="仿宋_GB2312" w:eastAsia="仿宋_GB2312" w:cs="仿宋_GB2312"/>
          <w:color w:val="000000"/>
          <w:spacing w:val="-6"/>
          <w:sz w:val="32"/>
          <w:szCs w:val="32"/>
          <w:highlight w:val="none"/>
        </w:rPr>
        <w:t>置、学科建设、改革方案、师资培训、人事安排、经费使用、职称评聘、人员出国、招生就业以及涉及面广的师生福利等重大事项的讨论与决定，并通过党组织的工作，保证各项工作的顺利实施。</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八、领导工会、共青团、学生会等群众组织开展工作，充分发挥他们的作用。</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九、做好统战工作，定期召开民主党派、无党派人士的座谈会、征求意见会，建立支委委员联系民主党派人士和党外学术骨干、管理骨干工作制度。</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十、做好干部在提升职务、选派出国等方面的政审工作。</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十一、组织每学期党总支工作的计划制订和总结， 重大事项须及时向学校党委汇报。</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十二、副书记根据工作分工，协助书记做好上述工作和做好自己分管的工作，书记不在时，由副书记主持党总支日</w:t>
      </w:r>
      <w:r>
        <w:rPr>
          <w:rFonts w:hint="eastAsia" w:ascii="仿宋_GB2312" w:hAnsi="仿宋_GB2312" w:eastAsia="仿宋_GB2312" w:cs="仿宋_GB2312"/>
          <w:color w:val="000000"/>
          <w:sz w:val="32"/>
          <w:szCs w:val="32"/>
          <w:highlight w:val="none"/>
          <w:lang w:val="en-US" w:eastAsia="zh-CN"/>
        </w:rPr>
        <w:t>常</w:t>
      </w:r>
      <w:r>
        <w:rPr>
          <w:rFonts w:hint="eastAsia" w:ascii="仿宋_GB2312" w:hAnsi="仿宋_GB2312" w:eastAsia="仿宋_GB2312" w:cs="仿宋_GB2312"/>
          <w:color w:val="000000"/>
          <w:sz w:val="32"/>
          <w:szCs w:val="32"/>
          <w:highlight w:val="none"/>
        </w:rPr>
        <w:t>工作</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660" w:lineRule="exact"/>
        <w:ind w:firstLine="0" w:firstLineChars="0"/>
        <w:jc w:val="center"/>
        <w:textAlignment w:val="auto"/>
        <w:rPr>
          <w:rFonts w:hint="eastAsia" w:ascii="方正小标宋简体" w:hAnsi="方正小标宋简体" w:eastAsia="方正小标宋简体" w:cs="方正小标宋简体"/>
          <w:b w:val="0"/>
          <w:bCs w:val="0"/>
          <w:color w:val="000000"/>
          <w:sz w:val="44"/>
          <w:szCs w:val="44"/>
          <w:highlight w:val="none"/>
          <w:lang w:val="en-US" w:eastAsia="zh-CN"/>
        </w:rPr>
      </w:pPr>
      <w:bookmarkStart w:id="41" w:name="_Toc20639"/>
      <w:r>
        <w:rPr>
          <w:rFonts w:hint="eastAsia" w:ascii="方正小标宋简体" w:hAnsi="方正小标宋简体" w:eastAsia="方正小标宋简体" w:cs="方正小标宋简体"/>
          <w:b w:val="0"/>
          <w:bCs w:val="0"/>
          <w:color w:val="000000"/>
          <w:sz w:val="44"/>
          <w:szCs w:val="44"/>
          <w:highlight w:val="none"/>
          <w:lang w:val="en-US" w:eastAsia="zh-CN"/>
        </w:rPr>
        <w:t>党总支副书记岗位职责</w:t>
      </w:r>
      <w:bookmarkEnd w:id="41"/>
    </w:p>
    <w:p>
      <w:pPr>
        <w:keepNext w:val="0"/>
        <w:keepLines w:val="0"/>
        <w:pageBreakBefore w:val="0"/>
        <w:widowControl w:val="0"/>
        <w:kinsoku/>
        <w:wordWrap/>
        <w:overflowPunct/>
        <w:topLinePunct w:val="0"/>
        <w:autoSpaceDE/>
        <w:autoSpaceDN/>
        <w:bidi w:val="0"/>
        <w:adjustRightInd/>
        <w:snapToGrid w:val="0"/>
        <w:spacing w:line="586" w:lineRule="exact"/>
        <w:ind w:firstLine="0" w:firstLineChars="0"/>
        <w:jc w:val="center"/>
        <w:textAlignment w:val="auto"/>
        <w:rPr>
          <w:rFonts w:hint="eastAsia" w:ascii="方正小标宋简体" w:hAnsi="方正小标宋简体" w:eastAsia="方正小标宋简体" w:cs="方正小标宋简体"/>
          <w:b w:val="0"/>
          <w:bCs w:val="0"/>
          <w:color w:val="00000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val="en-US" w:eastAsia="zh-CN"/>
        </w:rPr>
        <w:t>一、</w:t>
      </w:r>
      <w:r>
        <w:rPr>
          <w:rFonts w:hint="eastAsia" w:ascii="仿宋_GB2312" w:hAnsi="仿宋_GB2312" w:eastAsia="仿宋_GB2312" w:cs="仿宋_GB2312"/>
          <w:color w:val="000000"/>
          <w:highlight w:val="none"/>
        </w:rPr>
        <w:t>根据学校党委和党总支的工作安排，结合</w:t>
      </w:r>
      <w:r>
        <w:rPr>
          <w:rFonts w:hint="eastAsia" w:ascii="仿宋_GB2312" w:hAnsi="仿宋_GB2312" w:eastAsia="仿宋_GB2312" w:cs="仿宋_GB2312"/>
          <w:color w:val="000000"/>
          <w:highlight w:val="none"/>
          <w:lang w:val="en-US" w:eastAsia="zh-CN"/>
        </w:rPr>
        <w:t>系部</w:t>
      </w:r>
      <w:r>
        <w:rPr>
          <w:rFonts w:hint="eastAsia" w:ascii="仿宋_GB2312" w:hAnsi="仿宋_GB2312" w:eastAsia="仿宋_GB2312" w:cs="仿宋_GB2312"/>
          <w:color w:val="000000"/>
          <w:highlight w:val="none"/>
        </w:rPr>
        <w:t>学生工作实际，</w:t>
      </w:r>
      <w:r>
        <w:rPr>
          <w:rFonts w:hint="eastAsia" w:ascii="仿宋_GB2312" w:hAnsi="仿宋_GB2312" w:eastAsia="仿宋_GB2312" w:cs="仿宋_GB2312"/>
          <w:color w:val="000000"/>
          <w:highlight w:val="none"/>
          <w:lang w:val="en-US" w:eastAsia="zh-CN"/>
        </w:rPr>
        <w:t>制定系部</w:t>
      </w:r>
      <w:r>
        <w:rPr>
          <w:rFonts w:hint="eastAsia" w:ascii="仿宋_GB2312" w:hAnsi="仿宋_GB2312" w:eastAsia="仿宋_GB2312" w:cs="仿宋_GB2312"/>
          <w:color w:val="000000"/>
          <w:highlight w:val="none"/>
        </w:rPr>
        <w:t>学生思想政治教育总体计划，并组织实施。</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val="en-US" w:eastAsia="zh-CN"/>
        </w:rPr>
        <w:t>二、</w:t>
      </w:r>
      <w:r>
        <w:rPr>
          <w:rFonts w:hint="eastAsia" w:ascii="仿宋_GB2312" w:hAnsi="仿宋_GB2312" w:eastAsia="仿宋_GB2312" w:cs="仿宋_GB2312"/>
          <w:color w:val="000000"/>
          <w:highlight w:val="none"/>
        </w:rPr>
        <w:t>负责对学生进行党的路线、方针、政策和</w:t>
      </w:r>
      <w:r>
        <w:rPr>
          <w:rFonts w:hint="eastAsia" w:ascii="仿宋_GB2312" w:hAnsi="仿宋_GB2312" w:eastAsia="仿宋_GB2312" w:cs="仿宋_GB2312"/>
          <w:color w:val="000000"/>
          <w:highlight w:val="none"/>
          <w:lang w:val="en-US" w:eastAsia="zh-CN"/>
        </w:rPr>
        <w:t>形势任务</w:t>
      </w:r>
      <w:r>
        <w:rPr>
          <w:rFonts w:hint="eastAsia" w:ascii="仿宋_GB2312" w:hAnsi="仿宋_GB2312" w:eastAsia="仿宋_GB2312" w:cs="仿宋_GB2312"/>
          <w:color w:val="000000"/>
          <w:highlight w:val="none"/>
        </w:rPr>
        <w:t>教育，进行爱国主义、集体主义、社会主义教育。</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val="en-US" w:eastAsia="zh-CN"/>
        </w:rPr>
        <w:t>三、</w:t>
      </w:r>
      <w:r>
        <w:rPr>
          <w:rFonts w:hint="eastAsia" w:ascii="仿宋_GB2312" w:hAnsi="仿宋_GB2312" w:eastAsia="仿宋_GB2312" w:cs="仿宋_GB2312"/>
          <w:color w:val="000000"/>
          <w:highlight w:val="none"/>
        </w:rPr>
        <w:t>认真组织辅导员做好学生工作，定期召开学生工作会议，安排、研究、总结阶段性工作，并定期向党总支书记汇报。</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val="en-US" w:eastAsia="zh-CN"/>
        </w:rPr>
        <w:t>四、</w:t>
      </w:r>
      <w:r>
        <w:rPr>
          <w:rFonts w:hint="eastAsia" w:ascii="仿宋_GB2312" w:hAnsi="仿宋_GB2312" w:eastAsia="仿宋_GB2312" w:cs="仿宋_GB2312"/>
          <w:color w:val="000000"/>
          <w:highlight w:val="none"/>
        </w:rPr>
        <w:t>配合党委组织部，对学生进行党的基本知识教育，建立学生入党积极分子队伍，做好在学生中发展党员及党员后续教育工作。</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val="en-US" w:eastAsia="zh-CN"/>
        </w:rPr>
        <w:t>五、</w:t>
      </w:r>
      <w:r>
        <w:rPr>
          <w:rFonts w:hint="eastAsia" w:ascii="仿宋_GB2312" w:hAnsi="仿宋_GB2312" w:eastAsia="仿宋_GB2312" w:cs="仿宋_GB2312"/>
          <w:color w:val="000000"/>
          <w:highlight w:val="none"/>
        </w:rPr>
        <w:t>认真设计新生入学教育、安全教育、学生就业指导工作方案，指导辅导员进行实施。</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val="en-US" w:eastAsia="zh-CN"/>
        </w:rPr>
        <w:t>六、</w:t>
      </w:r>
      <w:r>
        <w:rPr>
          <w:rFonts w:hint="eastAsia" w:ascii="仿宋_GB2312" w:hAnsi="仿宋_GB2312" w:eastAsia="仿宋_GB2312" w:cs="仿宋_GB2312"/>
          <w:color w:val="000000"/>
          <w:highlight w:val="none"/>
        </w:rPr>
        <w:t>开展学生思想政治工作研究，定期了解和研究学生思想状况，提出实施意见，并及时向党委、学生工作部和系总支书记汇报。</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val="en-US" w:eastAsia="zh-CN"/>
        </w:rPr>
        <w:t>七、</w:t>
      </w:r>
      <w:r>
        <w:rPr>
          <w:rFonts w:hint="eastAsia" w:ascii="仿宋_GB2312" w:hAnsi="仿宋_GB2312" w:eastAsia="仿宋_GB2312" w:cs="仿宋_GB2312"/>
          <w:color w:val="000000"/>
          <w:highlight w:val="none"/>
        </w:rPr>
        <w:t>指导</w:t>
      </w:r>
      <w:r>
        <w:rPr>
          <w:rFonts w:hint="eastAsia" w:ascii="仿宋_GB2312" w:hAnsi="仿宋_GB2312" w:eastAsia="仿宋_GB2312" w:cs="仿宋_GB2312"/>
          <w:color w:val="000000"/>
          <w:highlight w:val="none"/>
          <w:lang w:val="en-US" w:eastAsia="zh-CN"/>
        </w:rPr>
        <w:t>系部</w:t>
      </w:r>
      <w:r>
        <w:rPr>
          <w:rFonts w:hint="eastAsia" w:ascii="仿宋_GB2312" w:hAnsi="仿宋_GB2312" w:eastAsia="仿宋_GB2312" w:cs="仿宋_GB2312"/>
          <w:color w:val="000000"/>
          <w:highlight w:val="none"/>
        </w:rPr>
        <w:t>团总支、学生会开展工作。组织学生开展创建先进班集体、三好学生、优秀学生干部等活动。</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val="en-US" w:eastAsia="zh-CN"/>
        </w:rPr>
        <w:t>八、</w:t>
      </w:r>
      <w:r>
        <w:rPr>
          <w:rFonts w:hint="eastAsia" w:ascii="仿宋_GB2312" w:hAnsi="仿宋_GB2312" w:eastAsia="仿宋_GB2312" w:cs="仿宋_GB2312"/>
          <w:color w:val="000000"/>
          <w:highlight w:val="none"/>
        </w:rPr>
        <w:t>认真协助书记开展各项工作，书记不在时，受书记或上级组织委托代理书记工作。</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九、</w:t>
      </w:r>
      <w:r>
        <w:rPr>
          <w:rFonts w:hint="eastAsia" w:ascii="仿宋_GB2312" w:hAnsi="仿宋_GB2312" w:eastAsia="仿宋_GB2312" w:cs="仿宋_GB2312"/>
          <w:color w:val="000000"/>
          <w:highlight w:val="none"/>
        </w:rPr>
        <w:t>完成党总支</w:t>
      </w:r>
      <w:r>
        <w:rPr>
          <w:rFonts w:hint="eastAsia" w:ascii="仿宋_GB2312" w:hAnsi="仿宋_GB2312" w:eastAsia="仿宋_GB2312" w:cs="仿宋_GB2312"/>
          <w:color w:val="000000"/>
          <w:highlight w:val="none"/>
          <w:lang w:val="en-US" w:eastAsia="zh-CN"/>
        </w:rPr>
        <w:t>及系部</w:t>
      </w:r>
      <w:r>
        <w:rPr>
          <w:rFonts w:hint="eastAsia" w:ascii="仿宋_GB2312" w:hAnsi="仿宋_GB2312" w:eastAsia="仿宋_GB2312" w:cs="仿宋_GB2312"/>
          <w:color w:val="000000"/>
          <w:highlight w:val="none"/>
        </w:rPr>
        <w:t>交办的其他工作任务。</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660" w:lineRule="exact"/>
        <w:ind w:firstLine="0" w:firstLineChars="0"/>
        <w:jc w:val="center"/>
        <w:textAlignment w:val="auto"/>
        <w:rPr>
          <w:rFonts w:hint="eastAsia" w:ascii="方正小标宋简体" w:hAnsi="方正小标宋简体" w:eastAsia="方正小标宋简体" w:cs="方正小标宋简体"/>
          <w:b w:val="0"/>
          <w:bCs w:val="0"/>
          <w:color w:val="000000"/>
          <w:sz w:val="44"/>
          <w:szCs w:val="44"/>
          <w:highlight w:val="none"/>
          <w:lang w:val="en-US" w:eastAsia="zh-CN"/>
        </w:rPr>
      </w:pPr>
      <w:bookmarkStart w:id="42" w:name="_Toc30490"/>
      <w:r>
        <w:rPr>
          <w:rFonts w:hint="eastAsia" w:ascii="方正小标宋简体" w:hAnsi="方正小标宋简体" w:eastAsia="方正小标宋简体" w:cs="方正小标宋简体"/>
          <w:b w:val="0"/>
          <w:bCs w:val="0"/>
          <w:color w:val="000000"/>
          <w:sz w:val="44"/>
          <w:szCs w:val="44"/>
          <w:highlight w:val="none"/>
          <w:lang w:val="en-US" w:eastAsia="zh-CN"/>
        </w:rPr>
        <w:t>党总支组织委员主要职责</w:t>
      </w:r>
      <w:bookmarkEnd w:id="42"/>
    </w:p>
    <w:p>
      <w:pPr>
        <w:keepNext w:val="0"/>
        <w:keepLines w:val="0"/>
        <w:pageBreakBefore w:val="0"/>
        <w:widowControl w:val="0"/>
        <w:kinsoku/>
        <w:wordWrap/>
        <w:overflowPunct/>
        <w:topLinePunct w:val="0"/>
        <w:autoSpaceDE/>
        <w:autoSpaceDN/>
        <w:bidi w:val="0"/>
        <w:adjustRightInd/>
        <w:snapToGrid w:val="0"/>
        <w:spacing w:line="586" w:lineRule="exact"/>
        <w:ind w:firstLine="0" w:firstLineChars="0"/>
        <w:jc w:val="center"/>
        <w:textAlignment w:val="auto"/>
        <w:rPr>
          <w:rFonts w:hint="eastAsia" w:ascii="方正小标宋简体" w:hAnsi="方正小标宋简体" w:eastAsia="方正小标宋简体" w:cs="方正小标宋简体"/>
          <w:b w:val="0"/>
          <w:bCs w:val="0"/>
          <w:color w:val="00000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val="en-US" w:eastAsia="zh-CN"/>
        </w:rPr>
        <w:t>一、</w:t>
      </w:r>
      <w:r>
        <w:rPr>
          <w:rFonts w:hint="eastAsia" w:ascii="仿宋_GB2312" w:hAnsi="仿宋_GB2312" w:eastAsia="仿宋_GB2312" w:cs="仿宋_GB2312"/>
          <w:color w:val="000000"/>
          <w:highlight w:val="none"/>
          <w:lang w:eastAsia="zh-CN"/>
        </w:rPr>
        <w:t>协助党总支书记组织开展贯彻党的路线、方针、政策和上级决定、决议的活动，对党总支的组织工作提出建议。</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val="en-US" w:eastAsia="zh-CN"/>
        </w:rPr>
        <w:t>二、</w:t>
      </w:r>
      <w:r>
        <w:rPr>
          <w:rFonts w:hint="eastAsia" w:ascii="仿宋_GB2312" w:hAnsi="仿宋_GB2312" w:eastAsia="仿宋_GB2312" w:cs="仿宋_GB2312"/>
          <w:color w:val="000000"/>
          <w:highlight w:val="none"/>
          <w:lang w:eastAsia="zh-CN"/>
        </w:rPr>
        <w:t>了解和掌握党总支的组织状况，按计划组织党总支和检查督促党支部过好组织生活。按党章和上级有关选举工作的规定，积极做好党总支改选的组织工作。</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val="en-US" w:eastAsia="zh-CN"/>
        </w:rPr>
        <w:t>三、</w:t>
      </w:r>
      <w:r>
        <w:rPr>
          <w:rFonts w:hint="eastAsia" w:ascii="仿宋_GB2312" w:hAnsi="仿宋_GB2312" w:eastAsia="仿宋_GB2312" w:cs="仿宋_GB2312"/>
          <w:color w:val="000000"/>
          <w:highlight w:val="none"/>
          <w:lang w:eastAsia="zh-CN"/>
        </w:rPr>
        <w:t>收集和了解党员的思想、学习、工作等情况和支部组织工作方面的情况。对支部的组织建设提出建议，并在党总支讨论决定后负责组织实施。收集、整理党员的模范事迹，组织评选优秀党员、优秀党务工作者等活动。</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val="en-US" w:eastAsia="zh-CN"/>
        </w:rPr>
        <w:t>四、</w:t>
      </w:r>
      <w:r>
        <w:rPr>
          <w:rFonts w:hint="eastAsia" w:ascii="仿宋_GB2312" w:hAnsi="仿宋_GB2312" w:eastAsia="仿宋_GB2312" w:cs="仿宋_GB2312"/>
          <w:color w:val="000000"/>
          <w:highlight w:val="none"/>
          <w:lang w:eastAsia="zh-CN"/>
        </w:rPr>
        <w:t>根据党总支的实际情况，提出民主评议党员工作的意见及安排，具体组织评议党员的工作。</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val="en-US" w:eastAsia="zh-CN"/>
        </w:rPr>
        <w:t>五、</w:t>
      </w:r>
      <w:r>
        <w:rPr>
          <w:rFonts w:hint="eastAsia" w:ascii="仿宋_GB2312" w:hAnsi="仿宋_GB2312" w:eastAsia="仿宋_GB2312" w:cs="仿宋_GB2312"/>
          <w:color w:val="000000"/>
          <w:highlight w:val="none"/>
          <w:lang w:eastAsia="zh-CN"/>
        </w:rPr>
        <w:t>了解入党积极分子的情况，组织对入党积极分子的培养、教育、考察，提出切实可行的发展工作计划，经党总支讨论通过后主持实施。按照发展党员的工作程序，负责基层支部上报的党组织发展对象、预备党员、预备党员转正材料的预审与公示，审查和办理吸收新党员及预备党员考察和转正的手续。</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六、</w:t>
      </w:r>
      <w:r>
        <w:rPr>
          <w:rFonts w:hint="eastAsia" w:ascii="仿宋_GB2312" w:hAnsi="仿宋_GB2312" w:eastAsia="仿宋_GB2312" w:cs="仿宋_GB2312"/>
          <w:color w:val="000000"/>
          <w:highlight w:val="none"/>
          <w:lang w:eastAsia="zh-CN"/>
        </w:rPr>
        <w:t>做好党员的组织管理工作。组织党员鉴定和考核</w:t>
      </w:r>
      <w:r>
        <w:rPr>
          <w:rFonts w:hint="eastAsia" w:ascii="仿宋_GB2312" w:hAnsi="仿宋_GB2312" w:eastAsia="仿宋_GB2312" w:cs="仿宋_GB2312"/>
          <w:color w:val="000000"/>
          <w:highlight w:val="none"/>
          <w:lang w:val="en-US" w:eastAsia="zh-CN"/>
        </w:rPr>
        <w:t>工作，负责</w:t>
      </w:r>
      <w:r>
        <w:rPr>
          <w:rFonts w:hint="eastAsia" w:ascii="仿宋_GB2312" w:hAnsi="仿宋_GB2312" w:eastAsia="仿宋_GB2312" w:cs="仿宋_GB2312"/>
          <w:color w:val="000000"/>
          <w:highlight w:val="none"/>
          <w:lang w:eastAsia="zh-CN"/>
        </w:rPr>
        <w:t>检查收缴党费和接转党员组织关系，定期向党员公布党费收缴情况，</w:t>
      </w:r>
      <w:r>
        <w:rPr>
          <w:rFonts w:hint="eastAsia" w:ascii="仿宋_GB2312" w:hAnsi="仿宋_GB2312" w:eastAsia="仿宋_GB2312" w:cs="仿宋_GB2312"/>
          <w:color w:val="000000"/>
          <w:highlight w:val="none"/>
          <w:lang w:val="en-US" w:eastAsia="zh-CN"/>
        </w:rPr>
        <w:t>做</w:t>
      </w:r>
      <w:r>
        <w:rPr>
          <w:rFonts w:hint="eastAsia" w:ascii="仿宋_GB2312" w:hAnsi="仿宋_GB2312" w:eastAsia="仿宋_GB2312" w:cs="仿宋_GB2312"/>
          <w:color w:val="000000"/>
          <w:highlight w:val="none"/>
          <w:lang w:eastAsia="zh-CN"/>
        </w:rPr>
        <w:t>好党员统计</w:t>
      </w:r>
      <w:r>
        <w:rPr>
          <w:rFonts w:hint="eastAsia" w:ascii="仿宋_GB2312" w:hAnsi="仿宋_GB2312" w:eastAsia="仿宋_GB2312" w:cs="仿宋_GB2312"/>
          <w:color w:val="000000"/>
          <w:highlight w:val="none"/>
          <w:lang w:val="en-US" w:eastAsia="zh-CN"/>
        </w:rPr>
        <w:t>等工作</w:t>
      </w:r>
      <w:r>
        <w:rPr>
          <w:rFonts w:hint="eastAsia" w:ascii="仿宋_GB2312" w:hAnsi="仿宋_GB2312" w:eastAsia="仿宋_GB2312" w:cs="仿宋_GB2312"/>
          <w:color w:val="000000"/>
          <w:highlight w:val="none"/>
          <w:lang w:eastAsia="zh-CN"/>
        </w:rPr>
        <w:t>。</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lang w:eastAsia="zh-CN"/>
        </w:rPr>
      </w:pPr>
    </w:p>
    <w:p>
      <w:pPr>
        <w:keepNext w:val="0"/>
        <w:keepLines w:val="0"/>
        <w:pageBreakBefore w:val="0"/>
        <w:widowControl w:val="0"/>
        <w:kinsoku/>
        <w:wordWrap/>
        <w:overflowPunct/>
        <w:topLinePunct w:val="0"/>
        <w:autoSpaceDE/>
        <w:autoSpaceDN/>
        <w:bidi w:val="0"/>
        <w:adjustRightInd/>
        <w:snapToGrid w:val="0"/>
        <w:spacing w:line="660" w:lineRule="exact"/>
        <w:ind w:firstLine="0" w:firstLineChars="0"/>
        <w:jc w:val="center"/>
        <w:textAlignment w:val="auto"/>
        <w:rPr>
          <w:rFonts w:hint="eastAsia" w:ascii="方正小标宋简体" w:hAnsi="方正小标宋简体" w:eastAsia="方正小标宋简体" w:cs="方正小标宋简体"/>
          <w:b w:val="0"/>
          <w:bCs w:val="0"/>
          <w:color w:val="000000"/>
          <w:sz w:val="44"/>
          <w:szCs w:val="44"/>
          <w:highlight w:val="none"/>
          <w:lang w:val="en-US" w:eastAsia="zh-CN"/>
        </w:rPr>
      </w:pPr>
      <w:bookmarkStart w:id="43" w:name="_Toc11445"/>
      <w:r>
        <w:rPr>
          <w:rFonts w:hint="eastAsia" w:ascii="方正小标宋简体" w:hAnsi="方正小标宋简体" w:eastAsia="方正小标宋简体" w:cs="方正小标宋简体"/>
          <w:b w:val="0"/>
          <w:bCs w:val="0"/>
          <w:color w:val="000000"/>
          <w:sz w:val="44"/>
          <w:szCs w:val="44"/>
          <w:highlight w:val="none"/>
          <w:lang w:val="en-US" w:eastAsia="zh-CN"/>
        </w:rPr>
        <w:t>党总支宣传委员主要职责</w:t>
      </w:r>
      <w:bookmarkEnd w:id="43"/>
    </w:p>
    <w:p>
      <w:pPr>
        <w:keepNext w:val="0"/>
        <w:keepLines w:val="0"/>
        <w:pageBreakBefore w:val="0"/>
        <w:widowControl w:val="0"/>
        <w:kinsoku/>
        <w:wordWrap/>
        <w:overflowPunct/>
        <w:topLinePunct w:val="0"/>
        <w:autoSpaceDE/>
        <w:autoSpaceDN/>
        <w:bidi w:val="0"/>
        <w:adjustRightInd/>
        <w:snapToGrid w:val="0"/>
        <w:spacing w:line="586" w:lineRule="exact"/>
        <w:ind w:firstLine="0" w:firstLineChars="0"/>
        <w:jc w:val="center"/>
        <w:textAlignment w:val="auto"/>
        <w:rPr>
          <w:rFonts w:hint="eastAsia" w:ascii="方正小标宋简体" w:hAnsi="方正小标宋简体" w:eastAsia="方正小标宋简体" w:cs="方正小标宋简体"/>
          <w:b w:val="0"/>
          <w:bCs w:val="0"/>
          <w:color w:val="00000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val="en-US" w:eastAsia="zh-CN"/>
        </w:rPr>
        <w:t>一、</w:t>
      </w:r>
      <w:r>
        <w:rPr>
          <w:rFonts w:hint="eastAsia" w:ascii="仿宋_GB2312" w:hAnsi="仿宋_GB2312" w:eastAsia="仿宋_GB2312" w:cs="仿宋_GB2312"/>
          <w:color w:val="000000"/>
          <w:highlight w:val="none"/>
          <w:lang w:eastAsia="zh-CN"/>
        </w:rPr>
        <w:t>负责党的路线、方针、政策和上级组织的决议、决定的宣传工作，提出宣传教育工作的意见，按照党总支决议，开展多种形式的宣传教育活动。提出思想政治工作的计划和措施，协助书记抓好思想政治工作。</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val="en-US" w:eastAsia="zh-CN"/>
        </w:rPr>
        <w:t>二、</w:t>
      </w:r>
      <w:r>
        <w:rPr>
          <w:rFonts w:hint="eastAsia" w:ascii="仿宋_GB2312" w:hAnsi="仿宋_GB2312" w:eastAsia="仿宋_GB2312" w:cs="仿宋_GB2312"/>
          <w:color w:val="000000"/>
          <w:highlight w:val="none"/>
          <w:lang w:eastAsia="zh-CN"/>
        </w:rPr>
        <w:t>围绕党的中心工作，根据实际情况，拟定党员教育计划，与工会、团组织工作负责人共同拟定对本单位干部职工进行政治理论、形势任务教育计划及政治学习计划安排，经党总支讨论通过后，主持实施。</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val="en-US" w:eastAsia="zh-CN"/>
        </w:rPr>
        <w:t>三、</w:t>
      </w:r>
      <w:r>
        <w:rPr>
          <w:rFonts w:hint="eastAsia" w:ascii="仿宋_GB2312" w:hAnsi="仿宋_GB2312" w:eastAsia="仿宋_GB2312" w:cs="仿宋_GB2312"/>
          <w:color w:val="000000"/>
          <w:highlight w:val="none"/>
          <w:lang w:eastAsia="zh-CN"/>
        </w:rPr>
        <w:t>协调</w:t>
      </w:r>
      <w:r>
        <w:rPr>
          <w:rFonts w:hint="eastAsia" w:ascii="仿宋_GB2312" w:hAnsi="仿宋_GB2312" w:eastAsia="仿宋_GB2312" w:cs="仿宋_GB2312"/>
          <w:color w:val="000000"/>
          <w:highlight w:val="none"/>
          <w:lang w:val="en-US" w:eastAsia="zh-CN"/>
        </w:rPr>
        <w:t>系部</w:t>
      </w:r>
      <w:r>
        <w:rPr>
          <w:rFonts w:hint="eastAsia" w:ascii="仿宋_GB2312" w:hAnsi="仿宋_GB2312" w:eastAsia="仿宋_GB2312" w:cs="仿宋_GB2312"/>
          <w:color w:val="000000"/>
          <w:highlight w:val="none"/>
          <w:lang w:eastAsia="zh-CN"/>
        </w:rPr>
        <w:t>工会、共青团及群众工作。</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val="en-US" w:eastAsia="zh-CN"/>
        </w:rPr>
        <w:t>四、</w:t>
      </w:r>
      <w:r>
        <w:rPr>
          <w:rFonts w:hint="eastAsia" w:ascii="仿宋_GB2312" w:hAnsi="仿宋_GB2312" w:eastAsia="仿宋_GB2312" w:cs="仿宋_GB2312"/>
          <w:color w:val="000000"/>
          <w:highlight w:val="none"/>
          <w:lang w:eastAsia="zh-CN"/>
        </w:rPr>
        <w:t>做好校内、外的宣传工作。</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lang w:eastAsia="zh-CN"/>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lang w:eastAsia="zh-CN"/>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lang w:eastAsia="zh-CN"/>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lang w:eastAsia="zh-CN"/>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lang w:eastAsia="zh-CN"/>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lang w:eastAsia="zh-CN"/>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lang w:eastAsia="zh-CN"/>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lang w:eastAsia="zh-CN"/>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lang w:eastAsia="zh-CN"/>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lang w:eastAsia="zh-CN"/>
        </w:rPr>
      </w:pPr>
    </w:p>
    <w:p>
      <w:pPr>
        <w:keepNext w:val="0"/>
        <w:keepLines w:val="0"/>
        <w:pageBreakBefore w:val="0"/>
        <w:widowControl w:val="0"/>
        <w:kinsoku/>
        <w:wordWrap/>
        <w:overflowPunct/>
        <w:topLinePunct w:val="0"/>
        <w:autoSpaceDE/>
        <w:autoSpaceDN/>
        <w:bidi w:val="0"/>
        <w:adjustRightInd/>
        <w:snapToGrid w:val="0"/>
        <w:spacing w:line="660" w:lineRule="exact"/>
        <w:ind w:firstLine="0" w:firstLineChars="0"/>
        <w:jc w:val="center"/>
        <w:textAlignment w:val="auto"/>
        <w:rPr>
          <w:rFonts w:hint="eastAsia" w:ascii="方正小标宋简体" w:hAnsi="方正小标宋简体" w:eastAsia="方正小标宋简体" w:cs="方正小标宋简体"/>
          <w:b w:val="0"/>
          <w:bCs w:val="0"/>
          <w:color w:val="000000"/>
          <w:sz w:val="44"/>
          <w:szCs w:val="44"/>
          <w:highlight w:val="none"/>
          <w:lang w:val="en-US" w:eastAsia="zh-CN"/>
        </w:rPr>
      </w:pPr>
      <w:bookmarkStart w:id="44" w:name="_Toc17260"/>
      <w:r>
        <w:rPr>
          <w:rFonts w:hint="eastAsia" w:ascii="方正小标宋简体" w:hAnsi="方正小标宋简体" w:eastAsia="方正小标宋简体" w:cs="方正小标宋简体"/>
          <w:b w:val="0"/>
          <w:bCs w:val="0"/>
          <w:color w:val="000000"/>
          <w:sz w:val="44"/>
          <w:szCs w:val="44"/>
          <w:highlight w:val="none"/>
          <w:lang w:val="en-US" w:eastAsia="zh-CN"/>
        </w:rPr>
        <w:t>党总支纪检委员主要职责</w:t>
      </w:r>
      <w:bookmarkEnd w:id="44"/>
    </w:p>
    <w:p>
      <w:pPr>
        <w:keepNext w:val="0"/>
        <w:keepLines w:val="0"/>
        <w:pageBreakBefore w:val="0"/>
        <w:widowControl w:val="0"/>
        <w:kinsoku/>
        <w:wordWrap/>
        <w:overflowPunct/>
        <w:topLinePunct w:val="0"/>
        <w:autoSpaceDE/>
        <w:autoSpaceDN/>
        <w:bidi w:val="0"/>
        <w:adjustRightInd/>
        <w:snapToGrid w:val="0"/>
        <w:spacing w:line="586" w:lineRule="exact"/>
        <w:ind w:firstLine="0" w:firstLineChars="0"/>
        <w:jc w:val="center"/>
        <w:textAlignment w:val="auto"/>
        <w:rPr>
          <w:rFonts w:hint="eastAsia" w:ascii="方正小标宋简体" w:hAnsi="方正小标宋简体" w:eastAsia="方正小标宋简体" w:cs="方正小标宋简体"/>
          <w:b w:val="0"/>
          <w:bCs w:val="0"/>
          <w:color w:val="00000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val="en-US" w:eastAsia="zh-CN"/>
        </w:rPr>
        <w:t>一、</w:t>
      </w:r>
      <w:r>
        <w:rPr>
          <w:rFonts w:hint="eastAsia" w:ascii="仿宋_GB2312" w:hAnsi="仿宋_GB2312" w:eastAsia="仿宋_GB2312" w:cs="仿宋_GB2312"/>
          <w:color w:val="000000"/>
          <w:highlight w:val="none"/>
          <w:lang w:eastAsia="zh-CN"/>
        </w:rPr>
        <w:t>协助党总支抓好党风党纪工作，根据上级党的纪检监察、部门与行政效能督导部门和党总支的安排，对党员进行党风和党纪教育。</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val="en-US" w:eastAsia="zh-CN"/>
        </w:rPr>
        <w:t>二、</w:t>
      </w:r>
      <w:r>
        <w:rPr>
          <w:rFonts w:hint="eastAsia" w:ascii="仿宋_GB2312" w:hAnsi="仿宋_GB2312" w:eastAsia="仿宋_GB2312" w:cs="仿宋_GB2312"/>
          <w:color w:val="000000"/>
          <w:highlight w:val="none"/>
          <w:lang w:eastAsia="zh-CN"/>
        </w:rPr>
        <w:t>检查了解支部和党员执行党章、准则、条例，贯彻党的路线、方针、政策及上级决议和遵守党纪的情况，对违纪党员及时提出处理意见，按照规定的权限办理处理手续,考察了解受处分党员的情况。</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val="en-US" w:eastAsia="zh-CN"/>
        </w:rPr>
        <w:t>三、</w:t>
      </w:r>
      <w:r>
        <w:rPr>
          <w:rFonts w:hint="eastAsia" w:ascii="仿宋_GB2312" w:hAnsi="仿宋_GB2312" w:eastAsia="仿宋_GB2312" w:cs="仿宋_GB2312"/>
          <w:color w:val="000000"/>
          <w:highlight w:val="none"/>
          <w:lang w:eastAsia="zh-CN"/>
        </w:rPr>
        <w:t>保障党员民主权利，受理党内外群众对党员违纪的检举、控告和申诉。</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val="en-US" w:eastAsia="zh-CN"/>
        </w:rPr>
        <w:t>四、</w:t>
      </w:r>
      <w:r>
        <w:rPr>
          <w:rFonts w:hint="eastAsia" w:ascii="仿宋_GB2312" w:hAnsi="仿宋_GB2312" w:eastAsia="仿宋_GB2312" w:cs="仿宋_GB2312"/>
          <w:color w:val="000000"/>
          <w:highlight w:val="none"/>
          <w:lang w:eastAsia="zh-CN"/>
        </w:rPr>
        <w:t>经常向党总支及上级纪检部门汇报和反映本单位的党风、党纪情况。</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val="en-US" w:eastAsia="zh-CN"/>
        </w:rPr>
        <w:t>五、</w:t>
      </w:r>
      <w:r>
        <w:rPr>
          <w:rFonts w:hint="eastAsia" w:ascii="仿宋_GB2312" w:hAnsi="仿宋_GB2312" w:eastAsia="仿宋_GB2312" w:cs="仿宋_GB2312"/>
          <w:color w:val="000000"/>
          <w:highlight w:val="none"/>
          <w:lang w:eastAsia="zh-CN"/>
        </w:rPr>
        <w:t>协助上级纪检监察和本单位行政领导处理非党员干部职工的违纪案件。</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lang w:eastAsia="zh-CN"/>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lang w:eastAsia="zh-CN"/>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lang w:eastAsia="zh-CN"/>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lang w:eastAsia="zh-CN"/>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lang w:eastAsia="zh-CN"/>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lang w:eastAsia="zh-CN"/>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lang w:eastAsia="zh-CN"/>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lang w:eastAsia="zh-CN"/>
        </w:rPr>
      </w:pPr>
      <w:bookmarkStart w:id="47" w:name="_GoBack"/>
      <w:bookmarkEnd w:id="47"/>
    </w:p>
    <w:p>
      <w:pPr>
        <w:keepNext w:val="0"/>
        <w:keepLines w:val="0"/>
        <w:pageBreakBefore w:val="0"/>
        <w:widowControl w:val="0"/>
        <w:kinsoku/>
        <w:wordWrap/>
        <w:overflowPunct/>
        <w:topLinePunct w:val="0"/>
        <w:autoSpaceDE/>
        <w:autoSpaceDN/>
        <w:bidi w:val="0"/>
        <w:adjustRightInd/>
        <w:snapToGrid w:val="0"/>
        <w:spacing w:line="660" w:lineRule="exact"/>
        <w:ind w:firstLine="0" w:firstLineChars="0"/>
        <w:jc w:val="center"/>
        <w:textAlignment w:val="auto"/>
        <w:rPr>
          <w:rFonts w:hint="eastAsia" w:ascii="方正小标宋简体" w:hAnsi="方正小标宋简体" w:eastAsia="方正小标宋简体" w:cs="方正小标宋简体"/>
          <w:b w:val="0"/>
          <w:bCs w:val="0"/>
          <w:color w:val="000000"/>
          <w:sz w:val="44"/>
          <w:szCs w:val="44"/>
          <w:highlight w:val="none"/>
          <w:lang w:val="en-US" w:eastAsia="zh-CN"/>
        </w:rPr>
      </w:pPr>
      <w:bookmarkStart w:id="45" w:name="_Toc156"/>
      <w:r>
        <w:rPr>
          <w:rFonts w:hint="eastAsia" w:ascii="方正小标宋简体" w:hAnsi="方正小标宋简体" w:eastAsia="方正小标宋简体" w:cs="方正小标宋简体"/>
          <w:b w:val="0"/>
          <w:bCs w:val="0"/>
          <w:color w:val="000000"/>
          <w:sz w:val="44"/>
          <w:szCs w:val="44"/>
          <w:highlight w:val="none"/>
          <w:lang w:val="en-US" w:eastAsia="zh-CN"/>
        </w:rPr>
        <w:t>党总支统战委员主要职责</w:t>
      </w:r>
      <w:bookmarkEnd w:id="45"/>
    </w:p>
    <w:p>
      <w:pPr>
        <w:keepNext w:val="0"/>
        <w:keepLines w:val="0"/>
        <w:pageBreakBefore w:val="0"/>
        <w:widowControl w:val="0"/>
        <w:kinsoku/>
        <w:wordWrap/>
        <w:overflowPunct/>
        <w:topLinePunct w:val="0"/>
        <w:autoSpaceDE/>
        <w:autoSpaceDN/>
        <w:bidi w:val="0"/>
        <w:adjustRightInd/>
        <w:snapToGrid w:val="0"/>
        <w:spacing w:line="586" w:lineRule="exact"/>
        <w:ind w:firstLine="0" w:firstLineChars="0"/>
        <w:jc w:val="center"/>
        <w:textAlignment w:val="auto"/>
        <w:rPr>
          <w:rFonts w:hint="eastAsia" w:ascii="方正小标宋简体" w:hAnsi="方正小标宋简体" w:eastAsia="方正小标宋简体" w:cs="方正小标宋简体"/>
          <w:b w:val="0"/>
          <w:bCs w:val="0"/>
          <w:color w:val="00000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val="en-US" w:eastAsia="zh-CN"/>
        </w:rPr>
        <w:t>一、</w:t>
      </w:r>
      <w:r>
        <w:rPr>
          <w:rFonts w:hint="eastAsia" w:ascii="仿宋_GB2312" w:hAnsi="仿宋_GB2312" w:eastAsia="仿宋_GB2312" w:cs="仿宋_GB2312"/>
          <w:color w:val="000000"/>
          <w:highlight w:val="none"/>
        </w:rPr>
        <w:t>对党员进行党的统战政策的教育，提高全体党员积极做好统战工作的自觉性。</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val="en-US" w:eastAsia="zh-CN"/>
        </w:rPr>
        <w:t>二、</w:t>
      </w:r>
      <w:r>
        <w:rPr>
          <w:rFonts w:hint="eastAsia" w:ascii="仿宋_GB2312" w:hAnsi="仿宋_GB2312" w:eastAsia="仿宋_GB2312" w:cs="仿宋_GB2312"/>
          <w:color w:val="000000"/>
          <w:highlight w:val="none"/>
        </w:rPr>
        <w:t>具体落实统战政策，经常了解统战对象的政治思想、工作表现和业务能力，做好他们的安排使用和培养工作。</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val="en-US" w:eastAsia="zh-CN"/>
        </w:rPr>
        <w:t>三、</w:t>
      </w:r>
      <w:r>
        <w:rPr>
          <w:rFonts w:hint="eastAsia" w:ascii="仿宋_GB2312" w:hAnsi="仿宋_GB2312" w:eastAsia="仿宋_GB2312" w:cs="仿宋_GB2312"/>
          <w:color w:val="000000"/>
          <w:highlight w:val="none"/>
        </w:rPr>
        <w:t>经常地、广泛地与统战对象保持联系，倾听他们</w:t>
      </w:r>
      <w:r>
        <w:rPr>
          <w:rFonts w:hint="eastAsia" w:ascii="仿宋_GB2312" w:hAnsi="仿宋_GB2312" w:eastAsia="仿宋_GB2312" w:cs="仿宋_GB2312"/>
          <w:color w:val="000000"/>
          <w:highlight w:val="none"/>
          <w:lang w:val="en-US" w:eastAsia="zh-CN"/>
        </w:rPr>
        <w:t>的</w:t>
      </w:r>
      <w:r>
        <w:rPr>
          <w:rFonts w:hint="eastAsia" w:ascii="仿宋_GB2312" w:hAnsi="仿宋_GB2312" w:eastAsia="仿宋_GB2312" w:cs="仿宋_GB2312"/>
          <w:color w:val="000000"/>
          <w:highlight w:val="none"/>
        </w:rPr>
        <w:t>意见和要求，积极热情地帮助他们在工作中做出成绩，在政治思想上不断取得进步。</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四、做好统战政策的落实工作，经常向上级党组织汇报本总支统战工作的情况。</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lang w:eastAsia="zh-CN"/>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lang w:eastAsia="zh-CN"/>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lang w:eastAsia="zh-CN"/>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lang w:eastAsia="zh-CN"/>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lang w:eastAsia="zh-CN"/>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lang w:eastAsia="zh-CN"/>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lang w:eastAsia="zh-CN"/>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lang w:eastAsia="zh-CN"/>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lang w:eastAsia="zh-CN"/>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lang w:eastAsia="zh-CN"/>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lang w:eastAsia="zh-CN"/>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lang w:eastAsia="zh-CN"/>
        </w:rPr>
      </w:pPr>
    </w:p>
    <w:p>
      <w:pPr>
        <w:keepNext w:val="0"/>
        <w:keepLines w:val="0"/>
        <w:pageBreakBefore w:val="0"/>
        <w:widowControl w:val="0"/>
        <w:kinsoku/>
        <w:wordWrap/>
        <w:overflowPunct/>
        <w:topLinePunct w:val="0"/>
        <w:autoSpaceDE/>
        <w:autoSpaceDN/>
        <w:bidi w:val="0"/>
        <w:adjustRightInd/>
        <w:snapToGrid w:val="0"/>
        <w:spacing w:line="660" w:lineRule="exact"/>
        <w:ind w:firstLine="0" w:firstLineChars="0"/>
        <w:jc w:val="center"/>
        <w:textAlignment w:val="auto"/>
        <w:rPr>
          <w:rFonts w:hint="eastAsia" w:ascii="方正小标宋简体" w:hAnsi="方正小标宋简体" w:eastAsia="方正小标宋简体" w:cs="方正小标宋简体"/>
          <w:b w:val="0"/>
          <w:bCs w:val="0"/>
          <w:color w:val="000000"/>
          <w:sz w:val="44"/>
          <w:szCs w:val="44"/>
          <w:highlight w:val="none"/>
          <w:lang w:val="en-US" w:eastAsia="zh-CN"/>
        </w:rPr>
      </w:pPr>
      <w:bookmarkStart w:id="46" w:name="_Toc3392"/>
      <w:r>
        <w:rPr>
          <w:rFonts w:hint="eastAsia" w:ascii="方正小标宋简体" w:hAnsi="方正小标宋简体" w:eastAsia="方正小标宋简体" w:cs="方正小标宋简体"/>
          <w:b w:val="0"/>
          <w:bCs w:val="0"/>
          <w:color w:val="000000"/>
          <w:sz w:val="44"/>
          <w:szCs w:val="44"/>
          <w:highlight w:val="none"/>
          <w:lang w:val="en-US" w:eastAsia="zh-CN"/>
        </w:rPr>
        <w:t>党总支青年委员主要职责</w:t>
      </w:r>
      <w:bookmarkEnd w:id="46"/>
    </w:p>
    <w:p>
      <w:pPr>
        <w:keepNext w:val="0"/>
        <w:keepLines w:val="0"/>
        <w:pageBreakBefore w:val="0"/>
        <w:widowControl w:val="0"/>
        <w:kinsoku/>
        <w:wordWrap/>
        <w:overflowPunct/>
        <w:topLinePunct w:val="0"/>
        <w:autoSpaceDE/>
        <w:autoSpaceDN/>
        <w:bidi w:val="0"/>
        <w:adjustRightInd/>
        <w:snapToGrid w:val="0"/>
        <w:spacing w:line="586" w:lineRule="exact"/>
        <w:ind w:firstLine="0" w:firstLineChars="0"/>
        <w:jc w:val="center"/>
        <w:textAlignment w:val="auto"/>
        <w:rPr>
          <w:rFonts w:hint="eastAsia" w:ascii="方正小标宋简体" w:hAnsi="方正小标宋简体" w:eastAsia="方正小标宋简体" w:cs="方正小标宋简体"/>
          <w:b w:val="0"/>
          <w:bCs w:val="0"/>
          <w:color w:val="00000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一、指导系部共青团组织加强对团员和青年的思想政治教育，引导教育团员和青年努力学习马克思列宁主义、毛泽东思想、邓小平理论、“三个代表”的重要思想、科学发展观和习近平新时代中国特色社会主义思想，学习党的路线方针政策，学习科学文化知识和法律知识。引导教育团员、青年做有理想、有道德、有文化、有纪律的社会主义事业的建设者和接班人。</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二、贯彻落实上级党委关于共青团工作的指示和要求，围绕党的中心工作，指导共青团根据青年的特点和需要，生动活泼地、富于创造性地开展工作，充分发挥其党的助手和后备军的作用。</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三、发动团员、青年参加健康有益的文化、体育活动，为活跃本单位文化生活做贡献。</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四、做好系部团干部教育培训和管理工作，指导团组织做好推荐优秀团员作为入党积极分子和党的发展对象的工作。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小标宋">
    <w:altName w:val="宋体"/>
    <w:panose1 w:val="00000000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eastAsia="仿宋_GB2312"/>
                              <w:sz w:val="28"/>
                              <w:szCs w:val="28"/>
                              <w:lang w:val="en-US"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path/>
              <v:fill on="f" focussize="0,0"/>
              <v:stroke on="f" weight="0.5pt"/>
              <v:imagedata o:title=""/>
              <o:lock v:ext="edit" aspectratio="f"/>
              <v:textbox inset="0mm,0mm,0mm,0mm" style="mso-fit-shape-to-text:t;">
                <w:txbxContent>
                  <w:p>
                    <w:pPr>
                      <w:pStyle w:val="3"/>
                      <w:rPr>
                        <w:rFonts w:hint="eastAsia" w:eastAsia="仿宋_GB2312"/>
                        <w:sz w:val="28"/>
                        <w:szCs w:val="28"/>
                        <w:lang w:val="en-US"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eastAsia="仿宋_GB2312"/>
                              <w:sz w:val="28"/>
                              <w:szCs w:val="28"/>
                              <w:lang w:val="en-US"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path/>
              <v:fill on="f" focussize="0,0"/>
              <v:stroke on="f" weight="0.5pt"/>
              <v:imagedata o:title=""/>
              <o:lock v:ext="edit" aspectratio="f"/>
              <v:textbox inset="0mm,0mm,0mm,0mm" style="mso-fit-shape-to-text:t;">
                <w:txbxContent>
                  <w:p>
                    <w:pPr>
                      <w:pStyle w:val="3"/>
                      <w:rPr>
                        <w:rFonts w:hint="eastAsia" w:eastAsia="仿宋_GB2312"/>
                        <w:sz w:val="28"/>
                        <w:szCs w:val="28"/>
                        <w:lang w:val="en-US"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15E702"/>
    <w:multiLevelType w:val="singleLevel"/>
    <w:tmpl w:val="4C15E70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iNzk2N2RmN2Q4MjVlOGYxMjRjMGZjZDQ3MThiOGMifQ=="/>
  </w:docVars>
  <w:rsids>
    <w:rsidRoot w:val="62E065C5"/>
    <w:rsid w:val="62E06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240" w:lineRule="atLeast"/>
    </w:pPr>
    <w:rPr>
      <w:rFonts w:ascii="宋体" w:hAnsi="宋体" w:eastAsia="小标宋"/>
      <w:sz w:val="44"/>
      <w:szCs w:val="32"/>
    </w:rPr>
  </w:style>
  <w:style w:type="paragraph" w:styleId="3">
    <w:name w:val="footer"/>
    <w:basedOn w:val="1"/>
    <w:qFormat/>
    <w:uiPriority w:val="0"/>
    <w:pPr>
      <w:tabs>
        <w:tab w:val="center" w:pos="4153"/>
        <w:tab w:val="right" w:pos="8306"/>
      </w:tabs>
      <w:snapToGrid w:val="0"/>
      <w:jc w:val="left"/>
    </w:pPr>
    <w:rPr>
      <w:sz w:val="18"/>
      <w:szCs w:val="18"/>
    </w:rPr>
  </w:style>
  <w:style w:type="table" w:styleId="5">
    <w:name w:val="Table Grid"/>
    <w:basedOn w:val="4"/>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2023-11-17T08:16:00Z</dcterms:created>
  <dc:creator>文档存本地丢失不负责</dc:creator>
  <cp:lastModifiedBy>文档存本地丢失不负责</cp:lastModifiedBy>
  <dcterms:modified xsi:type="dcterms:W3CDTF">2023-11-17T08:17:57Z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8177B8C1D60A47FCB8B3846AADAA59CD_11</vt:lpwstr>
  </property>
</Properties>
</file>