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  <w:bookmarkStart w:id="0" w:name="_Hlk5193762"/>
      <w:bookmarkEnd w:id="0"/>
    </w:p>
    <w:p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sz w:val="44"/>
          <w:szCs w:val="44"/>
        </w:rPr>
      </w:pPr>
    </w:p>
    <w:p>
      <w:pPr>
        <w:jc w:val="center"/>
        <w:rPr>
          <w:rFonts w:hint="default" w:ascii="微软雅黑" w:hAnsi="微软雅黑" w:eastAsia="微软雅黑" w:cs="Times New Roman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44"/>
          <w:szCs w:val="44"/>
        </w:rPr>
        <w:t>万方智搜</w:t>
      </w:r>
      <w:r>
        <w:rPr>
          <w:rFonts w:hint="eastAsia" w:ascii="微软雅黑" w:hAnsi="微软雅黑" w:eastAsia="微软雅黑" w:cs="Times New Roman"/>
          <w:b/>
          <w:sz w:val="44"/>
          <w:szCs w:val="44"/>
          <w:lang w:val="en-US" w:eastAsia="zh-CN"/>
        </w:rPr>
        <w:t>简介与检索方法</w:t>
      </w:r>
    </w:p>
    <w:p>
      <w:pPr>
        <w:widowControl/>
        <w:jc w:val="left"/>
      </w:pPr>
      <w: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74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_Toc32430 </w:instrText>
          </w:r>
          <w:r>
            <w:fldChar w:fldCharType="separate"/>
          </w:r>
          <w:r>
            <w:rPr>
              <w:rFonts w:hint="eastAsia" w:ascii="Calibri" w:hAnsi="Calibri" w:eastAsia="宋体" w:cs="Times New Roman"/>
              <w:kern w:val="2"/>
            </w:rPr>
            <w:t>第一部分</w:t>
          </w:r>
          <w:r>
            <w:rPr>
              <w:rFonts w:ascii="Calibri" w:hAnsi="Calibri" w:eastAsia="宋体" w:cs="Times New Roman"/>
              <w:kern w:val="2"/>
            </w:rPr>
            <w:t xml:space="preserve"> </w:t>
          </w:r>
          <w:r>
            <w:rPr>
              <w:rFonts w:hint="eastAsia" w:ascii="Calibri" w:hAnsi="Calibri" w:eastAsia="宋体" w:cs="Times New Roman"/>
              <w:kern w:val="2"/>
            </w:rPr>
            <w:t>万方智搜概述</w:t>
          </w:r>
          <w:r>
            <w:tab/>
          </w:r>
          <w:r>
            <w:fldChar w:fldCharType="begin"/>
          </w:r>
          <w:r>
            <w:instrText xml:space="preserve"> PAGEREF _Toc32430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_Toc7999 </w:instrText>
          </w:r>
          <w:r>
            <w:fldChar w:fldCharType="separate"/>
          </w:r>
          <w:r>
            <w:rPr>
              <w:rFonts w:hint="eastAsia" w:ascii="Calibri" w:hAnsi="Calibri" w:eastAsia="宋体" w:cs="Times New Roman"/>
              <w:kern w:val="2"/>
            </w:rPr>
            <w:t>第二部分 使用说明</w:t>
          </w:r>
          <w:r>
            <w:tab/>
          </w:r>
          <w:r>
            <w:fldChar w:fldCharType="begin"/>
          </w:r>
          <w:r>
            <w:instrText xml:space="preserve"> PAGEREF _Toc7999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_Toc5201 </w:instrText>
          </w:r>
          <w:r>
            <w:fldChar w:fldCharType="separate"/>
          </w:r>
          <w:r>
            <w:t xml:space="preserve">1 </w:t>
          </w:r>
          <w:r>
            <w:rPr>
              <w:rFonts w:hint="eastAsia" w:ascii="Calibri" w:hAnsi="Calibri" w:cs="Times New Roman"/>
            </w:rPr>
            <w:t>文献</w:t>
          </w:r>
          <w:r>
            <w:rPr>
              <w:rFonts w:hint="eastAsia"/>
            </w:rPr>
            <w:t>检索</w:t>
          </w:r>
          <w:r>
            <w:tab/>
          </w:r>
          <w:r>
            <w:fldChar w:fldCharType="begin"/>
          </w:r>
          <w:r>
            <w:instrText xml:space="preserve"> PAGEREF _Toc5201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_Toc1913 </w:instrText>
          </w:r>
          <w:r>
            <w:fldChar w:fldCharType="separate"/>
          </w:r>
          <w:r>
            <w:rPr>
              <w:rFonts w:hint="eastAsia"/>
            </w:rPr>
            <w:t>1.1 统一检索</w:t>
          </w:r>
          <w:r>
            <w:tab/>
          </w:r>
          <w:r>
            <w:fldChar w:fldCharType="begin"/>
          </w:r>
          <w:r>
            <w:instrText xml:space="preserve"> PAGEREF _Toc1913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_Toc29399 </w:instrText>
          </w:r>
          <w:r>
            <w:fldChar w:fldCharType="separate"/>
          </w:r>
          <w:r>
            <w:rPr>
              <w:rFonts w:hint="eastAsia"/>
            </w:rPr>
            <w:t>1.2 结果中</w:t>
          </w:r>
          <w:r>
            <w:t>检索</w:t>
          </w:r>
          <w:r>
            <w:tab/>
          </w:r>
          <w:r>
            <w:fldChar w:fldCharType="begin"/>
          </w:r>
          <w:r>
            <w:instrText xml:space="preserve"> PAGEREF _Toc29399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_Toc28269 </w:instrText>
          </w:r>
          <w:r>
            <w:fldChar w:fldCharType="separate"/>
          </w:r>
          <w:r>
            <w:rPr>
              <w:rFonts w:hint="eastAsia"/>
            </w:rPr>
            <w:t>1.3 分类</w:t>
          </w:r>
          <w:r>
            <w:t>检索</w:t>
          </w:r>
          <w:r>
            <w:tab/>
          </w:r>
          <w:r>
            <w:fldChar w:fldCharType="begin"/>
          </w:r>
          <w:r>
            <w:instrText xml:space="preserve"> PAGEREF _Toc28269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_Toc24075 </w:instrText>
          </w:r>
          <w:r>
            <w:fldChar w:fldCharType="separate"/>
          </w:r>
          <w:r>
            <w:rPr>
              <w:rFonts w:hint="eastAsia"/>
            </w:rPr>
            <w:t>1.4 高级检索</w:t>
          </w:r>
          <w:r>
            <w:tab/>
          </w:r>
          <w:r>
            <w:fldChar w:fldCharType="begin"/>
          </w:r>
          <w:r>
            <w:instrText xml:space="preserve"> PAGEREF _Toc24075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_Toc21954 </w:instrText>
          </w:r>
          <w:r>
            <w:fldChar w:fldCharType="separate"/>
          </w:r>
          <w:r>
            <w:rPr>
              <w:rFonts w:hint="eastAsia"/>
            </w:rPr>
            <w:t>1.5 专业检索</w:t>
          </w:r>
          <w:r>
            <w:tab/>
          </w:r>
          <w:r>
            <w:fldChar w:fldCharType="begin"/>
          </w:r>
          <w:r>
            <w:instrText xml:space="preserve"> PAGEREF _Toc21954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_Toc4571 </w:instrText>
          </w:r>
          <w:r>
            <w:fldChar w:fldCharType="separate"/>
          </w:r>
          <w:r>
            <w:rPr>
              <w:rFonts w:hint="eastAsia"/>
            </w:rPr>
            <w:t xml:space="preserve">1.6 </w:t>
          </w:r>
          <w:r>
            <w:t>作者发文</w:t>
          </w:r>
          <w:r>
            <w:rPr>
              <w:rFonts w:hint="eastAsia"/>
            </w:rPr>
            <w:t>检索</w:t>
          </w:r>
          <w:r>
            <w:tab/>
          </w:r>
          <w:r>
            <w:fldChar w:fldCharType="begin"/>
          </w:r>
          <w:r>
            <w:instrText xml:space="preserve"> PAGEREF _Toc4571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_Toc20233 </w:instrText>
          </w:r>
          <w:r>
            <w:fldChar w:fldCharType="separate"/>
          </w:r>
          <w:r>
            <w:rPr>
              <w:rFonts w:hint="eastAsia"/>
            </w:rPr>
            <w:t>1.7 智能检索</w:t>
          </w:r>
          <w:r>
            <w:tab/>
          </w:r>
          <w:r>
            <w:fldChar w:fldCharType="begin"/>
          </w:r>
          <w:r>
            <w:instrText xml:space="preserve"> PAGEREF _Toc20233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_Toc29060 </w:instrText>
          </w:r>
          <w:r>
            <w:fldChar w:fldCharType="separate"/>
          </w:r>
          <w:r>
            <w:rPr>
              <w:rFonts w:hint="eastAsia" w:ascii="Calibri" w:hAnsi="Calibri" w:cs="Times New Roman"/>
            </w:rPr>
            <w:t>2 检索结果</w:t>
          </w:r>
          <w:r>
            <w:tab/>
          </w:r>
          <w:r>
            <w:fldChar w:fldCharType="begin"/>
          </w:r>
          <w:r>
            <w:instrText xml:space="preserve"> PAGEREF _Toc29060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_Toc12466 </w:instrText>
          </w:r>
          <w:r>
            <w:fldChar w:fldCharType="separate"/>
          </w:r>
          <w:r>
            <w:rPr>
              <w:rFonts w:hint="eastAsia"/>
            </w:rPr>
            <w:t>3.1 结果展示：详情式/列表式</w:t>
          </w:r>
          <w:r>
            <w:tab/>
          </w:r>
          <w:r>
            <w:fldChar w:fldCharType="begin"/>
          </w:r>
          <w:r>
            <w:instrText xml:space="preserve"> PAGEREF _Toc12466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_Toc8505 </w:instrText>
          </w:r>
          <w:r>
            <w:fldChar w:fldCharType="separate"/>
          </w:r>
          <w:r>
            <w:rPr>
              <w:rFonts w:hint="eastAsia"/>
            </w:rPr>
            <w:t>3.2 结果排序</w:t>
          </w:r>
          <w:r>
            <w:tab/>
          </w:r>
          <w:r>
            <w:fldChar w:fldCharType="begin"/>
          </w:r>
          <w:r>
            <w:instrText xml:space="preserve"> PAGEREF _Toc8505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_Toc8097 </w:instrText>
          </w:r>
          <w:r>
            <w:fldChar w:fldCharType="separate"/>
          </w:r>
          <w:r>
            <w:rPr>
              <w:rFonts w:hint="eastAsia"/>
            </w:rPr>
            <w:t>3.3 结果筛选</w:t>
          </w:r>
          <w:r>
            <w:tab/>
          </w:r>
          <w:r>
            <w:fldChar w:fldCharType="begin"/>
          </w:r>
          <w:r>
            <w:instrText xml:space="preserve"> PAGEREF _Toc8097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_Toc26081 </w:instrText>
          </w:r>
          <w:r>
            <w:fldChar w:fldCharType="separate"/>
          </w:r>
          <w:r>
            <w:rPr>
              <w:rFonts w:hint="eastAsia"/>
            </w:rPr>
            <w:t>3.4 结果</w:t>
          </w:r>
          <w:r>
            <w:t>限定</w:t>
          </w:r>
          <w:r>
            <w:tab/>
          </w:r>
          <w:r>
            <w:fldChar w:fldCharType="begin"/>
          </w:r>
          <w:r>
            <w:instrText xml:space="preserve"> PAGEREF _Toc26081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_Toc31339 </w:instrText>
          </w:r>
          <w:r>
            <w:fldChar w:fldCharType="separate"/>
          </w:r>
          <w:r>
            <w:rPr>
              <w:rFonts w:hint="eastAsia"/>
            </w:rPr>
            <w:t>3.5 结果操作</w:t>
          </w:r>
          <w:r>
            <w:tab/>
          </w:r>
          <w:r>
            <w:fldChar w:fldCharType="begin"/>
          </w:r>
          <w:r>
            <w:instrText xml:space="preserve"> PAGEREF _Toc31339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_Toc17372 </w:instrText>
          </w:r>
          <w:r>
            <w:fldChar w:fldCharType="separate"/>
          </w:r>
          <w:r>
            <w:rPr>
              <w:rFonts w:hint="eastAsia"/>
            </w:rPr>
            <w:t>3.6 智能扩展</w:t>
          </w:r>
          <w:r>
            <w:tab/>
          </w:r>
          <w:r>
            <w:fldChar w:fldCharType="begin"/>
          </w:r>
          <w:r>
            <w:instrText xml:space="preserve"> PAGEREF _Toc17372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_Toc23432 </w:instrText>
          </w:r>
          <w:r>
            <w:fldChar w:fldCharType="separate"/>
          </w:r>
          <w:r>
            <w:rPr>
              <w:rFonts w:hint="eastAsia" w:ascii="Calibri" w:hAnsi="Calibri" w:cs="Times New Roman"/>
            </w:rPr>
            <w:t>3 文献获取</w:t>
          </w:r>
          <w:r>
            <w:tab/>
          </w:r>
          <w:r>
            <w:fldChar w:fldCharType="begin"/>
          </w:r>
          <w:r>
            <w:instrText xml:space="preserve"> PAGEREF _Toc23432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_Toc23801 </w:instrText>
          </w:r>
          <w:r>
            <w:fldChar w:fldCharType="separate"/>
          </w:r>
          <w:r>
            <w:rPr>
              <w:rFonts w:hint="eastAsia"/>
            </w:rPr>
            <w:t>5.1 在线阅读和下载</w:t>
          </w:r>
          <w:r>
            <w:tab/>
          </w:r>
          <w:r>
            <w:fldChar w:fldCharType="begin"/>
          </w:r>
          <w:r>
            <w:instrText xml:space="preserve"> PAGEREF _Toc23801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_Toc20983 </w:instrText>
          </w:r>
          <w:r>
            <w:fldChar w:fldCharType="separate"/>
          </w:r>
          <w:r>
            <w:rPr>
              <w:rFonts w:hint="eastAsia"/>
            </w:rPr>
            <w:t>5.2 原文传递</w:t>
          </w:r>
          <w:r>
            <w:tab/>
          </w:r>
          <w:r>
            <w:fldChar w:fldCharType="begin"/>
          </w:r>
          <w:r>
            <w:instrText xml:space="preserve"> PAGEREF _Toc20983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_Toc20219 </w:instrText>
          </w:r>
          <w:r>
            <w:fldChar w:fldCharType="separate"/>
          </w:r>
          <w:r>
            <w:rPr>
              <w:rFonts w:hint="eastAsia"/>
            </w:rPr>
            <w:t>5.3 多来源获取</w:t>
          </w:r>
          <w:r>
            <w:tab/>
          </w:r>
          <w:r>
            <w:fldChar w:fldCharType="begin"/>
          </w:r>
          <w:r>
            <w:instrText xml:space="preserve"> PAGEREF _Toc20219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kern w:val="44"/>
          <w:sz w:val="44"/>
          <w:szCs w:val="44"/>
        </w:rPr>
      </w:pPr>
      <w:r>
        <w:rPr>
          <w:kern w:val="44"/>
          <w:sz w:val="44"/>
          <w:szCs w:val="44"/>
        </w:rPr>
        <w:br w:type="page"/>
      </w:r>
    </w:p>
    <w:p>
      <w:pPr>
        <w:pStyle w:val="2"/>
        <w:spacing w:after="400" w:line="576" w:lineRule="auto"/>
        <w:jc w:val="center"/>
        <w:rPr>
          <w:rFonts w:ascii="Calibri" w:hAnsi="Calibri" w:eastAsia="宋体" w:cs="Times New Roman"/>
          <w:sz w:val="72"/>
          <w:szCs w:val="72"/>
        </w:rPr>
      </w:pPr>
      <w:bookmarkStart w:id="1" w:name="_Toc480821390"/>
      <w:bookmarkEnd w:id="1"/>
      <w:bookmarkStart w:id="2" w:name="_Toc32430"/>
      <w:bookmarkStart w:id="3" w:name="_Toc480043851"/>
      <w:r>
        <w:rPr>
          <w:rFonts w:hint="eastAsia" w:ascii="Calibri" w:hAnsi="Calibri" w:eastAsia="宋体" w:cs="Times New Roman"/>
          <w:kern w:val="2"/>
        </w:rPr>
        <w:t>第一部分</w:t>
      </w:r>
      <w:r>
        <w:rPr>
          <w:rFonts w:ascii="Calibri" w:hAnsi="Calibri" w:eastAsia="宋体" w:cs="Times New Roman"/>
          <w:kern w:val="2"/>
        </w:rPr>
        <w:t xml:space="preserve"> </w:t>
      </w:r>
      <w:r>
        <w:rPr>
          <w:rFonts w:hint="eastAsia" w:ascii="Calibri" w:hAnsi="Calibri" w:eastAsia="宋体" w:cs="Times New Roman"/>
          <w:kern w:val="2"/>
        </w:rPr>
        <w:t>万方智搜概述</w:t>
      </w:r>
      <w:bookmarkEnd w:id="2"/>
    </w:p>
    <w:p>
      <w:pPr>
        <w:pStyle w:val="26"/>
        <w:spacing w:line="360" w:lineRule="auto"/>
        <w:ind w:firstLine="560"/>
      </w:pPr>
      <w:bookmarkStart w:id="4" w:name="_Toc480043848"/>
      <w:bookmarkStart w:id="5" w:name="_Toc480821391"/>
      <w:r>
        <w:rPr>
          <w:rFonts w:hint="eastAsia"/>
        </w:rPr>
        <w:t xml:space="preserve"> 万方智搜是万方数据股份有限公司旗下的学术资源检索与获取平台，致力于通过专业的检索及知识挖掘技术，帮助用户精准发现、获取与沉淀学术精华，让用户更加愉悦的获取知识，创造知识。同时，万方智搜携手国家科技图书文献中心、科睿唯安、</w:t>
      </w:r>
      <w:r>
        <w:t>WILEY、Taylor &amp; Francis等30余家世界著名出版商共建知识服务基石，共促开放科学服务，优化学术价值生态，助力科研创新发展。</w:t>
      </w:r>
    </w:p>
    <w:p>
      <w:pPr>
        <w:pStyle w:val="26"/>
        <w:spacing w:line="360" w:lineRule="auto"/>
        <w:ind w:firstLine="560"/>
      </w:pPr>
      <w:r>
        <w:rPr>
          <w:rFonts w:hint="eastAsia"/>
        </w:rPr>
        <w:t>万方智搜收录了包括期刊、学位、会议科技报告、专利、标准、科技成果、法规、地方志、视频等</w:t>
      </w:r>
      <w:r>
        <w:t>10余种资源类型在内的3亿多篇中外文学术文献，全面覆盖各学科、各行业。在此基础之上，万方智搜通过深度知识加工及知识图谱技术，构建了2千万余条专家和机构数据、3亿多条文献引证数据、1万</w:t>
      </w:r>
      <w:r>
        <w:rPr>
          <w:rFonts w:hint="eastAsia"/>
          <w:lang w:val="en-US" w:eastAsia="zh-CN"/>
        </w:rPr>
        <w:t>多</w:t>
      </w:r>
      <w:r>
        <w:t>本期刊数据等多种数据类型。基于海量高品质知识资源和知识发现技术，万方智搜为用户提供专业文献检索、多途径全文获取、云端文献管理及多维度学术分析等功能，全面服务于用户的科研创新。</w:t>
      </w:r>
      <w:bookmarkEnd w:id="4"/>
      <w:bookmarkEnd w:id="5"/>
    </w:p>
    <w:p>
      <w:pPr>
        <w:pStyle w:val="2"/>
        <w:spacing w:after="400" w:line="576" w:lineRule="auto"/>
        <w:jc w:val="center"/>
        <w:rPr>
          <w:rFonts w:ascii="Calibri" w:hAnsi="Calibri" w:eastAsia="宋体" w:cs="Times New Roman"/>
          <w:sz w:val="72"/>
          <w:szCs w:val="72"/>
        </w:rPr>
      </w:pPr>
      <w:bookmarkStart w:id="6" w:name="_Toc7999"/>
      <w:r>
        <w:rPr>
          <w:rFonts w:hint="eastAsia" w:ascii="Calibri" w:hAnsi="Calibri" w:eastAsia="宋体" w:cs="Times New Roman"/>
          <w:kern w:val="2"/>
        </w:rPr>
        <w:t>第二部分 使用说明</w:t>
      </w:r>
      <w:bookmarkEnd w:id="6"/>
    </w:p>
    <w:bookmarkEnd w:id="3"/>
    <w:p>
      <w:pPr>
        <w:pStyle w:val="3"/>
        <w:numPr>
          <w:ilvl w:val="0"/>
          <w:numId w:val="3"/>
        </w:numPr>
        <w:spacing w:before="400" w:after="400" w:line="415" w:lineRule="auto"/>
      </w:pPr>
      <w:bookmarkStart w:id="7" w:name="_Toc33603841"/>
      <w:bookmarkEnd w:id="7"/>
      <w:bookmarkStart w:id="8" w:name="_Toc33603806"/>
      <w:bookmarkEnd w:id="8"/>
      <w:bookmarkStart w:id="9" w:name="_Toc33603794"/>
      <w:bookmarkEnd w:id="9"/>
      <w:bookmarkStart w:id="10" w:name="_Toc33603808"/>
      <w:bookmarkEnd w:id="10"/>
      <w:bookmarkStart w:id="11" w:name="_Toc33603820"/>
      <w:bookmarkEnd w:id="11"/>
      <w:bookmarkStart w:id="12" w:name="_Toc33603807"/>
      <w:bookmarkEnd w:id="12"/>
      <w:bookmarkStart w:id="13" w:name="_Toc33603805"/>
      <w:bookmarkEnd w:id="13"/>
      <w:bookmarkStart w:id="14" w:name="_Toc33603838"/>
      <w:bookmarkEnd w:id="14"/>
      <w:bookmarkStart w:id="15" w:name="_Toc33603818"/>
      <w:bookmarkEnd w:id="15"/>
      <w:bookmarkStart w:id="16" w:name="_Toc33603856"/>
      <w:bookmarkEnd w:id="16"/>
      <w:bookmarkStart w:id="17" w:name="_Toc33603817"/>
      <w:bookmarkEnd w:id="17"/>
      <w:bookmarkStart w:id="18" w:name="_Toc33603819"/>
      <w:bookmarkEnd w:id="18"/>
      <w:bookmarkStart w:id="19" w:name="_Toc33603814"/>
      <w:bookmarkEnd w:id="19"/>
      <w:bookmarkStart w:id="20" w:name="_Toc33603846"/>
      <w:bookmarkEnd w:id="20"/>
      <w:bookmarkStart w:id="21" w:name="_Toc33603833"/>
      <w:bookmarkEnd w:id="21"/>
      <w:bookmarkStart w:id="22" w:name="_Toc33603777"/>
      <w:bookmarkEnd w:id="22"/>
      <w:bookmarkStart w:id="23" w:name="_Toc33603861"/>
      <w:bookmarkEnd w:id="23"/>
      <w:bookmarkStart w:id="24" w:name="_Toc33603827"/>
      <w:bookmarkEnd w:id="24"/>
      <w:bookmarkStart w:id="25" w:name="_Toc33603813"/>
      <w:bookmarkEnd w:id="25"/>
      <w:bookmarkStart w:id="26" w:name="_Toc33603823"/>
      <w:bookmarkEnd w:id="26"/>
      <w:bookmarkStart w:id="27" w:name="_Toc33603763"/>
      <w:bookmarkEnd w:id="27"/>
      <w:bookmarkStart w:id="28" w:name="_Toc33603852"/>
      <w:bookmarkEnd w:id="28"/>
      <w:bookmarkStart w:id="29" w:name="_Toc33603741"/>
      <w:bookmarkEnd w:id="29"/>
      <w:bookmarkStart w:id="30" w:name="_Toc33603815"/>
      <w:bookmarkEnd w:id="30"/>
      <w:bookmarkStart w:id="31" w:name="_Toc33603757"/>
      <w:bookmarkEnd w:id="31"/>
      <w:bookmarkStart w:id="32" w:name="_Toc33603825"/>
      <w:bookmarkEnd w:id="32"/>
      <w:bookmarkStart w:id="33" w:name="_Toc33603778"/>
      <w:bookmarkEnd w:id="33"/>
      <w:bookmarkStart w:id="34" w:name="_Toc33604045"/>
      <w:bookmarkEnd w:id="34"/>
      <w:bookmarkStart w:id="35" w:name="_Toc33603868"/>
      <w:bookmarkEnd w:id="35"/>
      <w:bookmarkStart w:id="36" w:name="_Toc33603876"/>
      <w:bookmarkEnd w:id="36"/>
      <w:bookmarkStart w:id="37" w:name="_Toc33603849"/>
      <w:bookmarkEnd w:id="37"/>
      <w:bookmarkStart w:id="38" w:name="_Toc33603826"/>
      <w:bookmarkEnd w:id="38"/>
      <w:bookmarkStart w:id="39" w:name="_Toc33603891"/>
      <w:bookmarkEnd w:id="39"/>
      <w:bookmarkStart w:id="40" w:name="_Toc33603885"/>
      <w:bookmarkEnd w:id="40"/>
      <w:bookmarkStart w:id="41" w:name="_Toc33603830"/>
      <w:bookmarkEnd w:id="41"/>
      <w:bookmarkStart w:id="42" w:name="_Toc33603889"/>
      <w:bookmarkEnd w:id="42"/>
      <w:bookmarkStart w:id="43" w:name="_Toc33603926"/>
      <w:bookmarkEnd w:id="43"/>
      <w:bookmarkStart w:id="44" w:name="_Toc33604073"/>
      <w:bookmarkEnd w:id="44"/>
      <w:bookmarkStart w:id="45" w:name="_Toc33603878"/>
      <w:bookmarkEnd w:id="45"/>
      <w:bookmarkStart w:id="46" w:name="_Toc33603892"/>
      <w:bookmarkEnd w:id="46"/>
      <w:bookmarkStart w:id="47" w:name="_Toc33603940"/>
      <w:bookmarkEnd w:id="47"/>
      <w:bookmarkStart w:id="48" w:name="_Toc33603877"/>
      <w:bookmarkEnd w:id="48"/>
      <w:bookmarkStart w:id="49" w:name="_Toc33603894"/>
      <w:bookmarkEnd w:id="49"/>
      <w:bookmarkStart w:id="50" w:name="_Toc33604052"/>
      <w:bookmarkEnd w:id="50"/>
      <w:bookmarkStart w:id="51" w:name="_Toc33603875"/>
      <w:bookmarkEnd w:id="51"/>
      <w:bookmarkStart w:id="52" w:name="_Hlk480202892"/>
      <w:bookmarkEnd w:id="52"/>
      <w:bookmarkStart w:id="53" w:name="_Toc33603912"/>
      <w:bookmarkEnd w:id="53"/>
      <w:bookmarkStart w:id="54" w:name="_Toc33603895"/>
      <w:bookmarkEnd w:id="54"/>
      <w:bookmarkStart w:id="55" w:name="_Toc33603989"/>
      <w:bookmarkEnd w:id="55"/>
      <w:bookmarkStart w:id="56" w:name="_Toc33603887"/>
      <w:bookmarkEnd w:id="56"/>
      <w:bookmarkStart w:id="57" w:name="_Toc33603933"/>
      <w:bookmarkEnd w:id="57"/>
      <w:bookmarkStart w:id="58" w:name="_Toc33604031"/>
      <w:bookmarkEnd w:id="58"/>
      <w:bookmarkStart w:id="59" w:name="_Toc33604038"/>
      <w:bookmarkEnd w:id="59"/>
      <w:bookmarkStart w:id="60" w:name="_Toc33604003"/>
      <w:bookmarkEnd w:id="60"/>
      <w:bookmarkStart w:id="61" w:name="_Toc33604066"/>
      <w:bookmarkEnd w:id="61"/>
      <w:bookmarkStart w:id="62" w:name="_Toc33603961"/>
      <w:bookmarkEnd w:id="62"/>
      <w:bookmarkStart w:id="63" w:name="_Toc33604024"/>
      <w:bookmarkEnd w:id="63"/>
      <w:bookmarkStart w:id="64" w:name="_Toc33603884"/>
      <w:bookmarkEnd w:id="64"/>
      <w:bookmarkStart w:id="65" w:name="_Toc33603890"/>
      <w:bookmarkEnd w:id="65"/>
      <w:bookmarkStart w:id="66" w:name="_Toc33603982"/>
      <w:bookmarkEnd w:id="66"/>
      <w:bookmarkStart w:id="67" w:name="_Toc33603866"/>
      <w:bookmarkEnd w:id="67"/>
      <w:bookmarkStart w:id="68" w:name="_Toc33603869"/>
      <w:bookmarkEnd w:id="68"/>
      <w:bookmarkStart w:id="69" w:name="_Toc33603870"/>
      <w:bookmarkEnd w:id="69"/>
      <w:bookmarkStart w:id="70" w:name="_Toc33603858"/>
      <w:bookmarkEnd w:id="70"/>
      <w:bookmarkStart w:id="71" w:name="_Toc33603975"/>
      <w:bookmarkEnd w:id="71"/>
      <w:bookmarkStart w:id="72" w:name="_Toc33603810"/>
      <w:bookmarkEnd w:id="72"/>
      <w:bookmarkStart w:id="73" w:name="_Toc33603873"/>
      <w:bookmarkEnd w:id="73"/>
      <w:bookmarkStart w:id="74" w:name="_Toc33603824"/>
      <w:bookmarkEnd w:id="74"/>
      <w:bookmarkStart w:id="75" w:name="_Toc33603811"/>
      <w:bookmarkEnd w:id="75"/>
      <w:bookmarkStart w:id="76" w:name="_Toc33603867"/>
      <w:bookmarkEnd w:id="76"/>
      <w:bookmarkStart w:id="77" w:name="_Toc33603847"/>
      <w:bookmarkEnd w:id="77"/>
      <w:bookmarkStart w:id="78" w:name="_Toc33603855"/>
      <w:bookmarkEnd w:id="78"/>
      <w:bookmarkStart w:id="79" w:name="_Toc33603883"/>
      <w:bookmarkEnd w:id="79"/>
      <w:bookmarkStart w:id="80" w:name="_Toc33603851"/>
      <w:bookmarkEnd w:id="80"/>
      <w:bookmarkStart w:id="81" w:name="_Toc33603850"/>
      <w:bookmarkEnd w:id="81"/>
      <w:bookmarkStart w:id="82" w:name="_Toc33603881"/>
      <w:bookmarkEnd w:id="82"/>
      <w:bookmarkStart w:id="83" w:name="_Toc33603843"/>
      <w:bookmarkEnd w:id="83"/>
      <w:bookmarkStart w:id="84" w:name="_Toc33603919"/>
      <w:bookmarkEnd w:id="84"/>
      <w:bookmarkStart w:id="85" w:name="_Toc33603844"/>
      <w:bookmarkEnd w:id="85"/>
      <w:bookmarkStart w:id="86" w:name="_Toc33603829"/>
      <w:bookmarkEnd w:id="86"/>
      <w:bookmarkStart w:id="87" w:name="_Toc33603834"/>
      <w:bookmarkEnd w:id="87"/>
      <w:bookmarkStart w:id="88" w:name="_Toc33603801"/>
      <w:bookmarkEnd w:id="88"/>
      <w:bookmarkStart w:id="89" w:name="_Toc33604010"/>
      <w:bookmarkEnd w:id="89"/>
      <w:bookmarkStart w:id="90" w:name="_Toc33603837"/>
      <w:bookmarkEnd w:id="90"/>
      <w:bookmarkStart w:id="91" w:name="_Toc33603863"/>
      <w:bookmarkEnd w:id="91"/>
      <w:bookmarkStart w:id="92" w:name="_Toc33603857"/>
      <w:bookmarkEnd w:id="92"/>
      <w:bookmarkStart w:id="93" w:name="_Toc33603862"/>
      <w:bookmarkEnd w:id="93"/>
      <w:bookmarkStart w:id="94" w:name="_Toc33603860"/>
      <w:bookmarkEnd w:id="94"/>
      <w:bookmarkStart w:id="95" w:name="_Toc33603968"/>
      <w:bookmarkEnd w:id="95"/>
      <w:bookmarkStart w:id="96" w:name="_Toc33603836"/>
      <w:bookmarkEnd w:id="96"/>
      <w:bookmarkStart w:id="97" w:name="_Toc33603821"/>
      <w:bookmarkEnd w:id="97"/>
      <w:bookmarkStart w:id="98" w:name="_Toc33603859"/>
      <w:bookmarkEnd w:id="98"/>
      <w:bookmarkStart w:id="99" w:name="_Toc33603996"/>
      <w:bookmarkEnd w:id="99"/>
      <w:bookmarkStart w:id="100" w:name="_Toc33603888"/>
      <w:bookmarkEnd w:id="100"/>
      <w:bookmarkStart w:id="101" w:name="_Toc33603893"/>
      <w:bookmarkEnd w:id="101"/>
      <w:bookmarkStart w:id="102" w:name="_Toc33603754"/>
      <w:bookmarkEnd w:id="102"/>
      <w:bookmarkStart w:id="103" w:name="_Toc33603765"/>
      <w:bookmarkEnd w:id="103"/>
      <w:bookmarkStart w:id="104" w:name="_Toc33603796"/>
      <w:bookmarkEnd w:id="104"/>
      <w:bookmarkStart w:id="105" w:name="_Toc33603865"/>
      <w:bookmarkEnd w:id="105"/>
      <w:bookmarkStart w:id="106" w:name="_Toc33603766"/>
      <w:bookmarkEnd w:id="106"/>
      <w:bookmarkStart w:id="107" w:name="_Toc33603764"/>
      <w:bookmarkEnd w:id="107"/>
      <w:bookmarkStart w:id="108" w:name="_Toc33603831"/>
      <w:bookmarkEnd w:id="108"/>
      <w:bookmarkStart w:id="109" w:name="_Toc33603769"/>
      <w:bookmarkEnd w:id="109"/>
      <w:bookmarkStart w:id="110" w:name="_Toc33603882"/>
      <w:bookmarkEnd w:id="110"/>
      <w:bookmarkStart w:id="111" w:name="_Toc33603874"/>
      <w:bookmarkEnd w:id="111"/>
      <w:bookmarkStart w:id="112" w:name="_Toc33603744"/>
      <w:bookmarkEnd w:id="112"/>
      <w:bookmarkStart w:id="113" w:name="_Toc33603768"/>
      <w:bookmarkEnd w:id="113"/>
      <w:bookmarkStart w:id="114" w:name="_Toc33603736"/>
      <w:bookmarkEnd w:id="114"/>
      <w:bookmarkStart w:id="115" w:name="_Toc33603775"/>
      <w:bookmarkEnd w:id="115"/>
      <w:bookmarkStart w:id="116" w:name="_Toc33603886"/>
      <w:bookmarkEnd w:id="116"/>
      <w:bookmarkStart w:id="117" w:name="_Toc33603739"/>
      <w:bookmarkEnd w:id="117"/>
      <w:bookmarkStart w:id="118" w:name="_Toc33603880"/>
      <w:bookmarkEnd w:id="118"/>
      <w:bookmarkStart w:id="119" w:name="_Toc33604059"/>
      <w:bookmarkEnd w:id="119"/>
      <w:bookmarkStart w:id="120" w:name="_Toc33603954"/>
      <w:bookmarkEnd w:id="120"/>
      <w:bookmarkStart w:id="121" w:name="_Toc33603832"/>
      <w:bookmarkEnd w:id="121"/>
      <w:bookmarkStart w:id="122" w:name="_Toc33603738"/>
      <w:bookmarkEnd w:id="122"/>
      <w:bookmarkStart w:id="123" w:name="_Toc33603845"/>
      <w:bookmarkEnd w:id="123"/>
      <w:bookmarkStart w:id="124" w:name="_Toc33603947"/>
      <w:bookmarkEnd w:id="124"/>
      <w:bookmarkStart w:id="125" w:name="_Toc33603872"/>
      <w:bookmarkEnd w:id="125"/>
      <w:bookmarkStart w:id="126" w:name="_Toc33603864"/>
      <w:bookmarkEnd w:id="126"/>
      <w:bookmarkStart w:id="127" w:name="_Toc33603879"/>
      <w:bookmarkEnd w:id="127"/>
      <w:bookmarkStart w:id="128" w:name="_Toc33604017"/>
      <w:bookmarkEnd w:id="128"/>
      <w:bookmarkStart w:id="129" w:name="_Toc33603871"/>
      <w:bookmarkEnd w:id="129"/>
      <w:bookmarkStart w:id="130" w:name="_Toc33603853"/>
      <w:bookmarkEnd w:id="130"/>
      <w:bookmarkStart w:id="131" w:name="_Toc33603788"/>
      <w:bookmarkEnd w:id="131"/>
      <w:bookmarkStart w:id="132" w:name="_Toc33603791"/>
      <w:bookmarkEnd w:id="132"/>
      <w:bookmarkStart w:id="133" w:name="_Toc33603760"/>
      <w:bookmarkEnd w:id="133"/>
      <w:bookmarkStart w:id="134" w:name="_Toc33603742"/>
      <w:bookmarkEnd w:id="134"/>
      <w:bookmarkStart w:id="135" w:name="_Toc33603737"/>
      <w:bookmarkEnd w:id="135"/>
      <w:bookmarkStart w:id="136" w:name="_Toc33603789"/>
      <w:bookmarkEnd w:id="136"/>
      <w:bookmarkStart w:id="137" w:name="_Toc33603759"/>
      <w:bookmarkEnd w:id="137"/>
      <w:bookmarkStart w:id="138" w:name="_Toc33603767"/>
      <w:bookmarkEnd w:id="138"/>
      <w:bookmarkStart w:id="139" w:name="_Toc33603746"/>
      <w:bookmarkEnd w:id="139"/>
      <w:bookmarkStart w:id="140" w:name="_Toc33603752"/>
      <w:bookmarkEnd w:id="140"/>
      <w:bookmarkStart w:id="141" w:name="_Toc33603772"/>
      <w:bookmarkEnd w:id="141"/>
      <w:bookmarkStart w:id="142" w:name="_Toc33603743"/>
      <w:bookmarkEnd w:id="142"/>
      <w:bookmarkStart w:id="143" w:name="_Toc33603747"/>
      <w:bookmarkEnd w:id="143"/>
      <w:bookmarkStart w:id="144" w:name="_Toc33603795"/>
      <w:bookmarkEnd w:id="144"/>
      <w:bookmarkStart w:id="145" w:name="_Toc33603750"/>
      <w:bookmarkEnd w:id="145"/>
      <w:bookmarkStart w:id="146" w:name="_Toc33603774"/>
      <w:bookmarkEnd w:id="146"/>
      <w:bookmarkStart w:id="147" w:name="_Toc33603793"/>
      <w:bookmarkEnd w:id="147"/>
      <w:bookmarkStart w:id="148" w:name="_Toc33603756"/>
      <w:bookmarkEnd w:id="148"/>
      <w:bookmarkStart w:id="149" w:name="_Toc33603835"/>
      <w:bookmarkEnd w:id="149"/>
      <w:bookmarkStart w:id="150" w:name="_Toc33603740"/>
      <w:bookmarkEnd w:id="150"/>
      <w:bookmarkStart w:id="151" w:name="_Toc33603786"/>
      <w:bookmarkEnd w:id="151"/>
      <w:bookmarkStart w:id="152" w:name="_Toc33603803"/>
      <w:bookmarkEnd w:id="152"/>
      <w:bookmarkStart w:id="153" w:name="_Toc33603755"/>
      <w:bookmarkEnd w:id="153"/>
      <w:bookmarkStart w:id="154" w:name="_Toc33603780"/>
      <w:bookmarkEnd w:id="154"/>
      <w:bookmarkStart w:id="155" w:name="_Toc33603762"/>
      <w:bookmarkEnd w:id="155"/>
      <w:bookmarkStart w:id="156" w:name="_Toc33603745"/>
      <w:bookmarkEnd w:id="156"/>
      <w:bookmarkStart w:id="157" w:name="_Toc33603748"/>
      <w:bookmarkEnd w:id="157"/>
      <w:bookmarkStart w:id="158" w:name="_Toc33603758"/>
      <w:bookmarkEnd w:id="158"/>
      <w:bookmarkStart w:id="159" w:name="_Toc33603800"/>
      <w:bookmarkEnd w:id="159"/>
      <w:bookmarkStart w:id="160" w:name="_Toc33603771"/>
      <w:bookmarkEnd w:id="160"/>
      <w:bookmarkStart w:id="161" w:name="_Toc33603753"/>
      <w:bookmarkEnd w:id="161"/>
      <w:bookmarkStart w:id="162" w:name="_Toc33603749"/>
      <w:bookmarkEnd w:id="162"/>
      <w:bookmarkStart w:id="163" w:name="_Toc33603792"/>
      <w:bookmarkEnd w:id="163"/>
      <w:bookmarkStart w:id="164" w:name="_Toc33603840"/>
      <w:bookmarkEnd w:id="164"/>
      <w:bookmarkStart w:id="165" w:name="_Toc33603822"/>
      <w:bookmarkEnd w:id="165"/>
      <w:bookmarkStart w:id="166" w:name="_Toc33603770"/>
      <w:bookmarkEnd w:id="166"/>
      <w:bookmarkStart w:id="167" w:name="_Toc33603790"/>
      <w:bookmarkEnd w:id="167"/>
      <w:bookmarkStart w:id="168" w:name="_Toc33603802"/>
      <w:bookmarkEnd w:id="168"/>
      <w:bookmarkStart w:id="169" w:name="_Toc33603751"/>
      <w:bookmarkEnd w:id="169"/>
      <w:bookmarkStart w:id="170" w:name="_Toc33603776"/>
      <w:bookmarkEnd w:id="170"/>
      <w:bookmarkStart w:id="171" w:name="_Toc33603848"/>
      <w:bookmarkEnd w:id="171"/>
      <w:bookmarkStart w:id="172" w:name="_Toc33603816"/>
      <w:bookmarkEnd w:id="172"/>
      <w:bookmarkStart w:id="173" w:name="_Toc33603828"/>
      <w:bookmarkEnd w:id="173"/>
      <w:bookmarkStart w:id="174" w:name="_Toc33603781"/>
      <w:bookmarkEnd w:id="174"/>
      <w:bookmarkStart w:id="175" w:name="_Toc33603798"/>
      <w:bookmarkEnd w:id="175"/>
      <w:bookmarkStart w:id="176" w:name="_Toc33603785"/>
      <w:bookmarkEnd w:id="176"/>
      <w:bookmarkStart w:id="177" w:name="_Toc33603809"/>
      <w:bookmarkEnd w:id="177"/>
      <w:bookmarkStart w:id="178" w:name="_Toc33603787"/>
      <w:bookmarkEnd w:id="178"/>
      <w:bookmarkStart w:id="179" w:name="_Toc33603783"/>
      <w:bookmarkEnd w:id="179"/>
      <w:bookmarkStart w:id="180" w:name="_Toc33603782"/>
      <w:bookmarkEnd w:id="180"/>
      <w:bookmarkStart w:id="181" w:name="_Toc33603779"/>
      <w:bookmarkEnd w:id="181"/>
      <w:bookmarkStart w:id="182" w:name="_Toc33603761"/>
      <w:bookmarkEnd w:id="182"/>
      <w:bookmarkStart w:id="183" w:name="_Toc33603839"/>
      <w:bookmarkEnd w:id="183"/>
      <w:bookmarkStart w:id="184" w:name="_Toc33603842"/>
      <w:bookmarkEnd w:id="184"/>
      <w:bookmarkStart w:id="185" w:name="_Toc33603812"/>
      <w:bookmarkEnd w:id="185"/>
      <w:bookmarkStart w:id="186" w:name="_Toc33603773"/>
      <w:bookmarkEnd w:id="186"/>
      <w:bookmarkStart w:id="187" w:name="_Toc33603797"/>
      <w:bookmarkEnd w:id="187"/>
      <w:bookmarkStart w:id="188" w:name="_Toc33603799"/>
      <w:bookmarkEnd w:id="188"/>
      <w:bookmarkStart w:id="189" w:name="_Toc33603784"/>
      <w:bookmarkEnd w:id="189"/>
      <w:bookmarkStart w:id="190" w:name="_Toc33603854"/>
      <w:bookmarkEnd w:id="190"/>
      <w:bookmarkStart w:id="191" w:name="_Toc33603804"/>
      <w:bookmarkEnd w:id="191"/>
      <w:bookmarkStart w:id="192" w:name="_Toc5201"/>
      <w:bookmarkStart w:id="193" w:name="_Toc480286756"/>
      <w:bookmarkStart w:id="194" w:name="_Toc33604074"/>
      <w:r>
        <w:rPr>
          <w:rFonts w:hint="eastAsia" w:ascii="Calibri" w:hAnsi="Calibri" w:cs="Times New Roman"/>
        </w:rPr>
        <w:t>文献</w:t>
      </w:r>
      <w:r>
        <w:rPr>
          <w:rFonts w:hint="eastAsia"/>
        </w:rPr>
        <w:t>检索</w:t>
      </w:r>
      <w:bookmarkEnd w:id="192"/>
      <w:bookmarkEnd w:id="193"/>
      <w:bookmarkEnd w:id="194"/>
    </w:p>
    <w:p>
      <w:pPr>
        <w:pStyle w:val="4"/>
        <w:numPr>
          <w:ilvl w:val="0"/>
          <w:numId w:val="4"/>
        </w:numPr>
      </w:pPr>
      <w:bookmarkStart w:id="195" w:name="_Toc480043855"/>
      <w:bookmarkStart w:id="196" w:name="_Toc33604075"/>
      <w:bookmarkStart w:id="197" w:name="_Toc1913"/>
      <w:bookmarkStart w:id="198" w:name="_Toc480043856"/>
      <w:r>
        <w:rPr>
          <w:rFonts w:hint="eastAsia"/>
        </w:rPr>
        <w:t>统一检索</w:t>
      </w:r>
      <w:bookmarkEnd w:id="195"/>
      <w:bookmarkEnd w:id="196"/>
      <w:bookmarkEnd w:id="197"/>
    </w:p>
    <w:p>
      <w:pPr>
        <w:pStyle w:val="26"/>
        <w:ind w:firstLine="560"/>
      </w:pPr>
      <w:r>
        <w:rPr>
          <w:rFonts w:hint="eastAsia"/>
        </w:rPr>
        <w:t>万方智搜首页的检索框即为统一检索的输入框，实现</w:t>
      </w:r>
      <w:r>
        <w:t>多种</w:t>
      </w:r>
      <w:r>
        <w:rPr>
          <w:rFonts w:hint="eastAsia"/>
        </w:rPr>
        <w:t>资源类型、多种来源的一站式检索和发现，同时，它还可对用户输入的检索词进行实体识别，便于引导用户更快捷的获取知识及学者、机构等科研实体的信息。</w:t>
      </w:r>
    </w:p>
    <w:p>
      <w:pPr>
        <w:pStyle w:val="26"/>
        <w:ind w:firstLine="560"/>
      </w:pPr>
      <w:r>
        <w:rPr>
          <w:rFonts w:hint="eastAsia"/>
        </w:rPr>
        <w:t>在统一检索的输入框内，用户可以选择想要限定的检索字段，目前共有5个可检索字段：题名、作者、作者单位关键词和摘要。</w:t>
      </w:r>
    </w:p>
    <w:p>
      <w:r>
        <w:drawing>
          <wp:inline distT="0" distB="0" distL="114300" distR="114300">
            <wp:extent cx="5267325" cy="2150745"/>
            <wp:effectExtent l="19050" t="19050" r="2857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074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  <w:rPr>
          <w:color w:val="FF0000"/>
        </w:rPr>
      </w:pPr>
      <w:r>
        <w:rPr>
          <w:rFonts w:hint="eastAsia"/>
        </w:rPr>
        <w:t xml:space="preserve">用户可以单击检索字段进行限定检索，也可以直接在检索框内输入检索式进行检索。例如，用户想检索题名包含“青蒿素”的文献，用户可以单击“题名”字段检索，检索式为：（题名:青蒿素）。除此之外，用户也可以自主输入检索式检索，例如：（标题:青蒿素）、（题目:青蒿素）、（题:青蒿素）、（篇名:青蒿素）、（t:青蒿素） （title:青蒿素）。 </w:t>
      </w:r>
    </w:p>
    <w:p>
      <w:r>
        <w:drawing>
          <wp:inline distT="0" distB="0" distL="114300" distR="114300">
            <wp:extent cx="5270500" cy="2795270"/>
            <wp:effectExtent l="12700" t="12700" r="25400" b="36830"/>
            <wp:docPr id="1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7005" cy="2757805"/>
            <wp:effectExtent l="12700" t="12700" r="23495" b="23495"/>
            <wp:docPr id="1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rcRect l="57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万方智搜默认用户直接输入的检索词为模糊检索，用户可以通过双引号“”（英文符号）来限定检索词为精确检索。</w:t>
      </w:r>
    </w:p>
    <w:p>
      <w:pPr>
        <w:pStyle w:val="26"/>
        <w:ind w:firstLine="560"/>
        <w:rPr>
          <w:color w:val="FF0000"/>
        </w:rPr>
      </w:pPr>
      <w:r>
        <w:rPr>
          <w:rFonts w:hint="eastAsia"/>
        </w:rPr>
        <w:t>例如，用户想要“信息资源检索”方面的文献，检索式为：（信息资源检索），即为模糊检索，检索式为：（“信息资源检索”）为精确检索。</w:t>
      </w:r>
    </w:p>
    <w:p>
      <w:pPr>
        <w:pStyle w:val="26"/>
        <w:ind w:firstLine="560"/>
      </w:pPr>
      <w:r>
        <w:rPr>
          <w:rFonts w:hint="eastAsia"/>
        </w:rPr>
        <w:t>另外用户也可以在检索框内使用者not、and、or对检索词进行逻辑匹配检索，其中and可以用空格代替，逻辑优先级关系为 not</w:t>
      </w:r>
      <w:r>
        <w:t xml:space="preserve"> </w:t>
      </w:r>
      <w:r>
        <w:rPr>
          <w:rFonts w:hint="eastAsia"/>
        </w:rPr>
        <w:t>&gt;</w:t>
      </w:r>
      <w:r>
        <w:t xml:space="preserve"> and &gt; or</w:t>
      </w:r>
      <w:r>
        <w:rPr>
          <w:rFonts w:hint="eastAsia"/>
        </w:rPr>
        <w:t>。例如，用户想要“信息检索”和“本体”方面的文献，检索式为：（信息检索 and</w:t>
      </w:r>
      <w:r>
        <w:t xml:space="preserve"> </w:t>
      </w:r>
      <w:r>
        <w:rPr>
          <w:rFonts w:hint="eastAsia"/>
        </w:rPr>
        <w:t xml:space="preserve">本体）或（信息检索 </w:t>
      </w:r>
      <w:r>
        <w:rPr>
          <w:rFonts w:hint="eastAsia"/>
          <w:color w:val="FF0000"/>
        </w:rPr>
        <w:t>空格</w:t>
      </w:r>
      <w:r>
        <w:rPr>
          <w:rFonts w:hint="eastAsia"/>
        </w:rPr>
        <w:t xml:space="preserve"> 本体）。</w:t>
      </w:r>
    </w:p>
    <w:p>
      <w:r>
        <w:drawing>
          <wp:inline distT="0" distB="0" distL="0" distR="0">
            <wp:extent cx="5274310" cy="2674620"/>
            <wp:effectExtent l="19050" t="19050" r="21590" b="11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 xml:space="preserve">    </w:t>
      </w:r>
    </w:p>
    <w:p>
      <w:pPr>
        <w:pStyle w:val="4"/>
        <w:numPr>
          <w:ilvl w:val="0"/>
          <w:numId w:val="4"/>
        </w:numPr>
      </w:pPr>
      <w:bookmarkStart w:id="199" w:name="_Toc33604077"/>
      <w:bookmarkStart w:id="200" w:name="_Toc29399"/>
      <w:r>
        <w:rPr>
          <w:rFonts w:hint="eastAsia"/>
        </w:rPr>
        <w:t>结果中</w:t>
      </w:r>
      <w:r>
        <w:t>检索</w:t>
      </w:r>
      <w:bookmarkEnd w:id="199"/>
      <w:bookmarkEnd w:id="200"/>
    </w:p>
    <w:p>
      <w:pPr>
        <w:pStyle w:val="26"/>
        <w:ind w:firstLine="560"/>
      </w:pPr>
      <w:r>
        <w:rPr>
          <w:rFonts w:hint="eastAsia"/>
        </w:rPr>
        <w:t>在检索结果页面，还可以对该检索结果进行二次检索。二次检索可以对检索字段进行限定检索。二次检索的检索字段根据不同的资源会有所不同，主要有标题、作者、关键词、起始年、结束年。</w:t>
      </w:r>
    </w:p>
    <w:p>
      <w:pPr>
        <w:pStyle w:val="26"/>
        <w:ind w:firstLine="560"/>
      </w:pPr>
      <w:r>
        <w:rPr>
          <w:rFonts w:hint="eastAsia"/>
        </w:rPr>
        <w:t>例如，在检索框里，输入检索式：信息，得到如下检索结果。</w:t>
      </w:r>
    </w:p>
    <w:p>
      <w:r>
        <w:drawing>
          <wp:inline distT="0" distB="0" distL="114300" distR="114300">
            <wp:extent cx="5260340" cy="1170940"/>
            <wp:effectExtent l="12700" t="12700" r="35560" b="35560"/>
            <wp:docPr id="2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70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对检索结果进行二次检索，限定标题为：资源管理</w:t>
      </w:r>
      <w:r>
        <w:t>。</w:t>
      </w:r>
    </w:p>
    <w:p>
      <w:r>
        <w:drawing>
          <wp:inline distT="0" distB="0" distL="114300" distR="114300">
            <wp:extent cx="5264785" cy="738505"/>
            <wp:effectExtent l="12700" t="12700" r="31115" b="36195"/>
            <wp:docPr id="2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点击“结果中检索”对检索结果进行精简，得到如下检索结果。</w:t>
      </w:r>
    </w:p>
    <w:p>
      <w:r>
        <w:drawing>
          <wp:inline distT="0" distB="0" distL="114300" distR="114300">
            <wp:extent cx="5268595" cy="1113790"/>
            <wp:effectExtent l="12700" t="12700" r="27305" b="16510"/>
            <wp:docPr id="2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</w:pPr>
      <w:bookmarkStart w:id="201" w:name="_Toc33604078"/>
      <w:bookmarkStart w:id="202" w:name="_Toc28269"/>
      <w:r>
        <w:rPr>
          <w:rFonts w:hint="eastAsia"/>
        </w:rPr>
        <w:t>分类</w:t>
      </w:r>
      <w:r>
        <w:t>检索</w:t>
      </w:r>
      <w:bookmarkEnd w:id="198"/>
      <w:bookmarkEnd w:id="201"/>
      <w:bookmarkEnd w:id="202"/>
    </w:p>
    <w:p>
      <w:pPr>
        <w:pStyle w:val="26"/>
        <w:ind w:firstLine="560"/>
      </w:pPr>
      <w:r>
        <w:rPr>
          <w:rFonts w:hint="eastAsia"/>
        </w:rPr>
        <w:t>万方智搜为用户提供了不同资源类型的检索，</w:t>
      </w:r>
      <w:r>
        <w:t>包括</w:t>
      </w:r>
      <w:r>
        <w:rPr>
          <w:rFonts w:hint="eastAsia"/>
        </w:rPr>
        <w:t>期刊、学位、会议、专利、科技报告、地方志等资源。用户可以通过单击检索框上部的资源类型进行检索范围切换。</w:t>
      </w:r>
    </w:p>
    <w:p>
      <w:pPr>
        <w:pStyle w:val="26"/>
        <w:ind w:firstLine="560"/>
      </w:pPr>
      <w:r>
        <w:t>万方智搜可检索篇级文献</w:t>
      </w:r>
      <w:r>
        <w:rPr>
          <w:rFonts w:hint="eastAsia"/>
        </w:rPr>
        <w:t>，</w:t>
      </w:r>
      <w:r>
        <w:t>也可以检索期刊母体</w:t>
      </w:r>
      <w:r>
        <w:rPr>
          <w:rFonts w:hint="eastAsia"/>
        </w:rPr>
        <w:t>、</w:t>
      </w:r>
      <w:r>
        <w:t>会议</w:t>
      </w:r>
      <w:r>
        <w:rPr>
          <w:rFonts w:hint="eastAsia"/>
        </w:rPr>
        <w:t>、</w:t>
      </w:r>
      <w:r>
        <w:t>志书</w:t>
      </w:r>
      <w:r>
        <w:rPr>
          <w:rFonts w:hint="eastAsia"/>
        </w:rPr>
        <w:t>。</w:t>
      </w:r>
    </w:p>
    <w:p>
      <w:pPr>
        <w:pStyle w:val="26"/>
        <w:ind w:firstLine="560"/>
      </w:pPr>
      <w:r>
        <w:rPr>
          <w:rFonts w:hint="eastAsia"/>
        </w:rPr>
        <w:t>期刊检索可以实现期刊论文检索和期刊检索，输入检索词或限定字段并输入检索词，点击搜论文按钮，实现对期刊论文的检索；输入刊名、刊号，点击搜期刊，实现对期刊母体的检索。如下图所示为期刊资源的检索页面。</w:t>
      </w:r>
    </w:p>
    <w:p>
      <w:r>
        <w:drawing>
          <wp:inline distT="0" distB="0" distL="114300" distR="114300">
            <wp:extent cx="5274310" cy="2523490"/>
            <wp:effectExtent l="19050" t="19050" r="2159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</w:p>
    <w:p>
      <w:pPr>
        <w:pStyle w:val="4"/>
        <w:numPr>
          <w:ilvl w:val="0"/>
          <w:numId w:val="4"/>
        </w:numPr>
      </w:pPr>
      <w:bookmarkStart w:id="203" w:name="_Toc480043857"/>
      <w:bookmarkStart w:id="204" w:name="_Toc33604079"/>
      <w:bookmarkStart w:id="205" w:name="_Toc24075"/>
      <w:r>
        <w:rPr>
          <w:rFonts w:hint="eastAsia"/>
        </w:rPr>
        <w:t>高级检索</w:t>
      </w:r>
      <w:bookmarkEnd w:id="203"/>
      <w:bookmarkEnd w:id="204"/>
      <w:bookmarkEnd w:id="205"/>
    </w:p>
    <w:p>
      <w:pPr>
        <w:pStyle w:val="26"/>
        <w:ind w:firstLine="560"/>
      </w:pPr>
      <w:r>
        <w:rPr>
          <w:rFonts w:hint="eastAsia"/>
        </w:rPr>
        <w:t>万方智搜检索框的右侧有高级检索的入口，单击进入高级检索界面。高级检索支持多个检索类型、多个检索字段和条件之间的逻辑组配检索，方便用户构建复杂检索表达式。</w:t>
      </w:r>
    </w:p>
    <w:p>
      <w:r>
        <w:t xml:space="preserve"> </w:t>
      </w:r>
      <w:r>
        <w:drawing>
          <wp:inline distT="0" distB="0" distL="114300" distR="114300">
            <wp:extent cx="5268595" cy="655320"/>
            <wp:effectExtent l="19050" t="19050" r="2730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53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292350"/>
            <wp:effectExtent l="9525" t="9525" r="2095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在高级检索界面，用户可以根据自己需要，选择想要检索的资源类型。系统通过以下检索条件，帮助用户提升检索的准确率。</w:t>
      </w:r>
    </w:p>
    <w:p>
      <w:pPr>
        <w:pStyle w:val="26"/>
        <w:ind w:firstLine="560"/>
      </w:pPr>
      <w:r>
        <w:drawing>
          <wp:inline distT="0" distB="0" distL="0" distR="0">
            <wp:extent cx="158115" cy="158115"/>
            <wp:effectExtent l="12700" t="12700" r="32385" b="32385"/>
            <wp:docPr id="1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60020" cy="160020"/>
            <wp:effectExtent l="12700" t="12700" r="30480" b="30480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，表示添加或者减少检索条件；</w:t>
      </w:r>
    </w:p>
    <w:p>
      <w:pPr>
        <w:pStyle w:val="26"/>
        <w:ind w:firstLine="560"/>
      </w:pPr>
      <w:r>
        <w:rPr>
          <w:rFonts w:hint="eastAsia"/>
        </w:rPr>
        <w:t>“与”、“或”和“非”，表</w:t>
      </w:r>
      <w:bookmarkStart w:id="267" w:name="_GoBack"/>
      <w:bookmarkEnd w:id="267"/>
      <w:r>
        <w:rPr>
          <w:rFonts w:hint="eastAsia"/>
        </w:rPr>
        <w:t>示限定检索条件，优先级为：非&gt;与&gt;或；</w:t>
      </w:r>
    </w:p>
    <w:p>
      <w:pPr>
        <w:pStyle w:val="26"/>
        <w:ind w:firstLine="560"/>
      </w:pPr>
      <w:r>
        <w:rPr>
          <w:rFonts w:hint="eastAsia"/>
        </w:rPr>
        <w:t>主题、作者、作者单位等，表示检索的限定条件。</w:t>
      </w:r>
    </w:p>
    <w:p>
      <w:pPr>
        <w:pStyle w:val="26"/>
        <w:ind w:firstLine="560"/>
      </w:pPr>
      <w:r>
        <w:rPr>
          <w:rFonts w:hint="eastAsia"/>
        </w:rPr>
        <w:t>发表时间和更新时间，表示限定的文献发表时间和万方智搜更新的时间。</w:t>
      </w:r>
    </w:p>
    <w:p>
      <w:pPr>
        <w:pStyle w:val="26"/>
        <w:ind w:firstLine="560"/>
      </w:pPr>
      <w:r>
        <w:rPr>
          <w:rFonts w:hint="eastAsia"/>
        </w:rPr>
        <w:t>精确，表示系统对于用户输入的检索词不拆分进行检索。例如，输入信息管理学院，检索仅包含 “信息管理学院”的文献；</w:t>
      </w:r>
    </w:p>
    <w:p>
      <w:pPr>
        <w:pStyle w:val="26"/>
        <w:ind w:firstLine="560"/>
      </w:pPr>
      <w:r>
        <w:rPr>
          <w:rFonts w:hint="eastAsia"/>
        </w:rPr>
        <w:t>模糊，表示系统对于用户输入的检索词拆分进行检索。例如，输入信息管理学院，检索不仅包含 “信息管理学院”的文献，还包含信息系统管理学院的文献；</w:t>
      </w:r>
    </w:p>
    <w:p>
      <w:pPr>
        <w:pStyle w:val="26"/>
        <w:ind w:firstLine="560"/>
      </w:pPr>
    </w:p>
    <w:p>
      <w:pPr>
        <w:pStyle w:val="4"/>
        <w:numPr>
          <w:ilvl w:val="0"/>
          <w:numId w:val="4"/>
        </w:numPr>
      </w:pPr>
      <w:bookmarkStart w:id="206" w:name="_Toc33604080"/>
      <w:bookmarkStart w:id="207" w:name="_Toc21954"/>
      <w:bookmarkStart w:id="208" w:name="_Toc480043858"/>
      <w:r>
        <w:rPr>
          <w:rFonts w:hint="eastAsia"/>
        </w:rPr>
        <w:t>专业检索</w:t>
      </w:r>
      <w:bookmarkEnd w:id="206"/>
      <w:bookmarkEnd w:id="207"/>
      <w:bookmarkEnd w:id="208"/>
    </w:p>
    <w:p>
      <w:pPr>
        <w:pStyle w:val="26"/>
        <w:ind w:firstLine="560"/>
      </w:pPr>
      <w:r>
        <w:rPr>
          <w:rFonts w:hint="eastAsia"/>
        </w:rPr>
        <w:t>万方智搜检索框的右侧有高级检索的入口，单击进入高级检索界面，然后选择专业检索。</w:t>
      </w:r>
    </w:p>
    <w:p>
      <w:r>
        <w:drawing>
          <wp:inline distT="0" distB="0" distL="114300" distR="114300">
            <wp:extent cx="5269865" cy="2715895"/>
            <wp:effectExtent l="9525" t="9525" r="16510" b="177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6"/>
        <w:ind w:firstLine="560"/>
      </w:pPr>
      <w:r>
        <w:rPr>
          <w:rFonts w:hint="eastAsia"/>
        </w:rPr>
        <w:t>专业检索是所有检索方式里面比较复杂的一种检索方法。需要用户自己输入检索式来检索，并且确保所输入的检索式语法正确，这样才能检索到想要的结果。每个资源的专业检索字段都不一样，详细的字段可以单击“</w:t>
      </w:r>
      <w:r>
        <w:rPr>
          <w:rFonts w:hint="eastAsia"/>
          <w:lang w:val="en-US" w:eastAsia="zh-CN"/>
        </w:rPr>
        <w:t>展开</w:t>
      </w:r>
      <w:r>
        <w:rPr>
          <w:rFonts w:hint="eastAsia"/>
        </w:rPr>
        <w:t>”进行选择。</w:t>
      </w:r>
    </w:p>
    <w:p>
      <w:pPr>
        <w:jc w:val="center"/>
      </w:pPr>
      <w:r>
        <w:drawing>
          <wp:inline distT="0" distB="0" distL="114300" distR="114300">
            <wp:extent cx="5273675" cy="935990"/>
            <wp:effectExtent l="9525" t="9525" r="12700" b="260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用户如果对自己想要检索的检索词不确定，可以使用“推荐检索词”功能，输入一些语句，单击搜索相关推荐词，得到规范的检索词。</w:t>
      </w:r>
    </w:p>
    <w:p>
      <w:pPr>
        <w:jc w:val="center"/>
      </w:pPr>
      <w:r>
        <w:drawing>
          <wp:inline distT="0" distB="0" distL="114300" distR="114300">
            <wp:extent cx="5273675" cy="1051560"/>
            <wp:effectExtent l="9525" t="9525" r="12700" b="247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例如检索主题为推荐，发表在情报学报上的期刊文献，检索式为“主题:(推荐)</w:t>
      </w:r>
      <w:r>
        <w:rPr>
          <w:rFonts w:hint="eastAsia"/>
          <w:lang w:val="en-US" w:eastAsia="zh-CN"/>
        </w:rPr>
        <w:t xml:space="preserve"> or </w:t>
      </w:r>
      <w:r>
        <w:rPr>
          <w:rFonts w:hint="eastAsia"/>
        </w:rPr>
        <w:t>刊名:(情报学报)”，专业检索得到如下检索结果。</w:t>
      </w:r>
      <w:r>
        <w:t xml:space="preserve"> </w:t>
      </w:r>
    </w:p>
    <w:p>
      <w:pPr>
        <w:jc w:val="center"/>
      </w:pPr>
      <w:r>
        <w:drawing>
          <wp:inline distT="0" distB="0" distL="0" distR="0">
            <wp:extent cx="5274310" cy="2880360"/>
            <wp:effectExtent l="19050" t="19050" r="21590" b="152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</w:pPr>
      <w:bookmarkStart w:id="209" w:name="_Toc4571"/>
      <w:bookmarkStart w:id="210" w:name="_Toc33604081"/>
      <w:r>
        <w:t>作者发文</w:t>
      </w:r>
      <w:r>
        <w:rPr>
          <w:rFonts w:hint="eastAsia"/>
        </w:rPr>
        <w:t>检索</w:t>
      </w:r>
      <w:bookmarkEnd w:id="209"/>
      <w:bookmarkEnd w:id="210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作者发文</w:t>
      </w:r>
      <w:r>
        <w:rPr>
          <w:rFonts w:hint="eastAsia" w:ascii="仿宋" w:hAnsi="仿宋" w:eastAsia="仿宋"/>
          <w:sz w:val="28"/>
          <w:szCs w:val="28"/>
        </w:rPr>
        <w:t>检索是</w:t>
      </w:r>
      <w:r>
        <w:rPr>
          <w:rFonts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color w:val="333333"/>
          <w:sz w:val="28"/>
          <w:szCs w:val="28"/>
        </w:rPr>
        <w:t>输入作者</w:t>
      </w:r>
      <w:r>
        <w:rPr>
          <w:rFonts w:hint="eastAsia" w:ascii="仿宋" w:hAnsi="仿宋" w:eastAsia="仿宋"/>
          <w:color w:val="333333"/>
          <w:sz w:val="28"/>
          <w:szCs w:val="28"/>
        </w:rPr>
        <w:t>姓名</w:t>
      </w:r>
      <w:r>
        <w:rPr>
          <w:rFonts w:ascii="仿宋" w:hAnsi="仿宋" w:eastAsia="仿宋"/>
          <w:color w:val="333333"/>
          <w:sz w:val="28"/>
          <w:szCs w:val="28"/>
        </w:rPr>
        <w:t>和作者单位等字段来精确查找相关作者的学术成果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用户可以选择想要检索</w:t>
      </w:r>
      <w:r>
        <w:rPr>
          <w:rFonts w:hint="eastAsia" w:ascii="仿宋" w:hAnsi="仿宋" w:eastAsia="仿宋"/>
          <w:sz w:val="28"/>
          <w:szCs w:val="28"/>
        </w:rPr>
        <w:t>的资源类型，通过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8115" cy="158115"/>
            <wp:effectExtent l="12700" t="12700" r="32385" b="32385"/>
            <wp:docPr id="20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或者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0020" cy="160020"/>
            <wp:effectExtent l="12700" t="12700" r="30480" b="30480"/>
            <wp:docPr id="2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添加或者减少检索条件，通过“与”、“或”和“非”限定检索条件</w:t>
      </w:r>
      <w:r>
        <w:rPr>
          <w:rFonts w:ascii="仿宋" w:hAnsi="仿宋" w:eastAsia="仿宋"/>
          <w:sz w:val="28"/>
          <w:szCs w:val="28"/>
        </w:rPr>
        <w:t>进行检索。可以检索第一作者，并且能够同时检索多个作者的成果。</w:t>
      </w:r>
    </w:p>
    <w:p>
      <w:r>
        <w:drawing>
          <wp:inline distT="0" distB="0" distL="114300" distR="114300">
            <wp:extent cx="5261610" cy="2821305"/>
            <wp:effectExtent l="12700" t="12700" r="34290" b="36195"/>
            <wp:docPr id="2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4"/>
        <w:numPr>
          <w:ilvl w:val="0"/>
          <w:numId w:val="4"/>
        </w:numPr>
      </w:pPr>
      <w:bookmarkStart w:id="211" w:name="_Toc20233"/>
      <w:bookmarkStart w:id="212" w:name="_Toc33604082"/>
      <w:r>
        <w:rPr>
          <w:rFonts w:hint="eastAsia"/>
        </w:rPr>
        <w:t>智能检索</w:t>
      </w:r>
      <w:bookmarkEnd w:id="211"/>
      <w:bookmarkEnd w:id="212"/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高级检索添加了智能检索的功能，智能检索包括中英文扩展和主题词扩展。</w:t>
      </w:r>
    </w:p>
    <w:p>
      <w:r>
        <w:drawing>
          <wp:inline distT="0" distB="0" distL="114300" distR="114300">
            <wp:extent cx="5274310" cy="2879090"/>
            <wp:effectExtent l="12700" t="12700" r="21590" b="29210"/>
            <wp:docPr id="2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中英文扩展指的是对检索词进行中文英文的扩展检索，扩大检索范围；主题词扩展指的是基于主题词表，对检索词扩展同义词和下位词，帮助用户保证查准率的条件下，扩大检索范围，提升检索的查全率。</w:t>
      </w:r>
      <w:r>
        <w:rPr>
          <w:rFonts w:ascii="仿宋" w:hAnsi="仿宋" w:eastAsia="仿宋"/>
          <w:sz w:val="28"/>
          <w:szCs w:val="28"/>
        </w:rPr>
        <w:t xml:space="preserve"> </w:t>
      </w:r>
    </w:p>
    <w:p/>
    <w:p>
      <w:pPr>
        <w:pStyle w:val="3"/>
        <w:numPr>
          <w:ilvl w:val="0"/>
          <w:numId w:val="3"/>
        </w:numPr>
        <w:spacing w:before="400" w:after="400" w:line="415" w:lineRule="auto"/>
        <w:rPr>
          <w:rFonts w:hint="eastAsia" w:ascii="Calibri" w:hAnsi="Calibri" w:cs="Times New Roman"/>
        </w:rPr>
      </w:pPr>
      <w:bookmarkStart w:id="213" w:name="_Toc33604088"/>
      <w:bookmarkEnd w:id="213"/>
      <w:bookmarkStart w:id="214" w:name="_Toc33604085"/>
      <w:bookmarkEnd w:id="214"/>
      <w:bookmarkStart w:id="215" w:name="_Toc33604084"/>
      <w:bookmarkEnd w:id="215"/>
      <w:bookmarkStart w:id="216" w:name="_Toc33604095"/>
      <w:bookmarkEnd w:id="216"/>
      <w:bookmarkStart w:id="217" w:name="_Toc33604092"/>
      <w:bookmarkEnd w:id="217"/>
      <w:bookmarkStart w:id="218" w:name="_Toc33604096"/>
      <w:bookmarkEnd w:id="218"/>
      <w:bookmarkStart w:id="219" w:name="_Toc33604083"/>
      <w:bookmarkEnd w:id="219"/>
      <w:bookmarkStart w:id="220" w:name="_Toc33604090"/>
      <w:bookmarkEnd w:id="220"/>
      <w:bookmarkStart w:id="221" w:name="_Toc33604091"/>
      <w:bookmarkEnd w:id="221"/>
      <w:bookmarkStart w:id="222" w:name="_Toc33604089"/>
      <w:bookmarkEnd w:id="222"/>
      <w:bookmarkStart w:id="223" w:name="_Toc33604086"/>
      <w:bookmarkEnd w:id="223"/>
      <w:bookmarkStart w:id="224" w:name="_Toc33604094"/>
      <w:bookmarkEnd w:id="224"/>
      <w:bookmarkStart w:id="225" w:name="_Toc33604087"/>
      <w:bookmarkEnd w:id="225"/>
      <w:bookmarkStart w:id="226" w:name="_Toc33604093"/>
      <w:bookmarkEnd w:id="226"/>
      <w:bookmarkStart w:id="227" w:name="_Toc480043863"/>
      <w:bookmarkStart w:id="228" w:name="_Toc33604101"/>
      <w:bookmarkStart w:id="229" w:name="_Toc29060"/>
      <w:r>
        <w:rPr>
          <w:rFonts w:hint="eastAsia" w:ascii="Calibri" w:hAnsi="Calibri" w:cs="Times New Roman"/>
        </w:rPr>
        <w:t>检索结果</w:t>
      </w:r>
      <w:bookmarkEnd w:id="227"/>
      <w:bookmarkEnd w:id="228"/>
      <w:bookmarkEnd w:id="229"/>
    </w:p>
    <w:p>
      <w:pPr>
        <w:pStyle w:val="4"/>
        <w:numPr>
          <w:ilvl w:val="0"/>
          <w:numId w:val="5"/>
        </w:numPr>
      </w:pPr>
      <w:bookmarkStart w:id="230" w:name="_Toc480043864"/>
      <w:bookmarkStart w:id="231" w:name="_Toc33604102"/>
      <w:bookmarkStart w:id="232" w:name="_Toc12466"/>
      <w:r>
        <w:rPr>
          <w:rFonts w:hint="eastAsia"/>
        </w:rPr>
        <w:t>结果展示</w:t>
      </w:r>
      <w:bookmarkEnd w:id="230"/>
      <w:r>
        <w:rPr>
          <w:rFonts w:hint="eastAsia"/>
        </w:rPr>
        <w:t>：详情式/列表式</w:t>
      </w:r>
      <w:bookmarkEnd w:id="231"/>
      <w:bookmarkEnd w:id="232"/>
    </w:p>
    <w:p>
      <w:pPr>
        <w:jc w:val="center"/>
      </w:pPr>
      <w:r>
        <w:drawing>
          <wp:inline distT="0" distB="0" distL="114300" distR="114300">
            <wp:extent cx="5268595" cy="2238375"/>
            <wp:effectExtent l="12700" t="12700" r="27305" b="34925"/>
            <wp:docPr id="1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6"/>
        <w:ind w:firstLine="560"/>
      </w:pPr>
      <w:r>
        <w:rPr>
          <w:rFonts w:hint="eastAsia"/>
        </w:rPr>
        <w:t>检索结果页中通过设置每页显示条数，用户可根据需要自由切换，每页显示20、30或50条。</w:t>
      </w:r>
    </w:p>
    <w:p>
      <w:pPr>
        <w:pStyle w:val="26"/>
        <w:ind w:firstLine="560"/>
      </w:pPr>
      <w:r>
        <w:rPr>
          <w:rFonts w:hint="eastAsia"/>
        </w:rPr>
        <w:t>列表式只展示标题、作者、来源、时间等简要信息。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7960" cy="1485900"/>
            <wp:effectExtent l="19050" t="19050" r="27940" b="19050"/>
            <wp:docPr id="2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b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85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233" w:name="_Toc33604103"/>
      <w:bookmarkStart w:id="234" w:name="_Toc480043865"/>
      <w:bookmarkStart w:id="235" w:name="_Toc8505"/>
      <w:r>
        <w:rPr>
          <w:rFonts w:hint="eastAsia"/>
        </w:rPr>
        <w:t>结果排序</w:t>
      </w:r>
      <w:bookmarkEnd w:id="233"/>
      <w:bookmarkEnd w:id="234"/>
      <w:bookmarkEnd w:id="235"/>
    </w:p>
    <w:p>
      <w:pPr>
        <w:pStyle w:val="26"/>
        <w:ind w:firstLine="560"/>
      </w:pPr>
      <w:r>
        <w:rPr>
          <w:rFonts w:hint="eastAsia"/>
        </w:rPr>
        <w:t>万方智搜提供对检索结果的多维度排序，除了传统的</w:t>
      </w:r>
      <w:r>
        <w:rPr>
          <w:rFonts w:hint="eastAsia"/>
          <w:b/>
          <w:bCs/>
        </w:rPr>
        <w:t>相关度、出版时间、被引频次</w:t>
      </w:r>
      <w:r>
        <w:rPr>
          <w:rFonts w:hint="eastAsia"/>
        </w:rPr>
        <w:t>指标外，我们还提供了下载量等排序指标。针对不同的资源类型，提供了不同的排序指标。</w:t>
      </w:r>
    </w:p>
    <w:p>
      <w:pPr>
        <w:pStyle w:val="26"/>
        <w:ind w:firstLine="560"/>
      </w:pPr>
      <w:r>
        <w:rPr>
          <w:rFonts w:hint="eastAsia"/>
        </w:rPr>
        <w:t>例如，针对专利资源，我们提供了专利的</w:t>
      </w:r>
      <w:r>
        <w:rPr>
          <w:rFonts w:hint="eastAsia"/>
          <w:b/>
          <w:bCs/>
        </w:rPr>
        <w:t>申请时间、公开时间</w:t>
      </w:r>
      <w:r>
        <w:rPr>
          <w:rFonts w:hint="eastAsia"/>
        </w:rPr>
        <w:t>等排序指标。</w:t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69865" cy="1320800"/>
            <wp:effectExtent l="19050" t="19050" r="26035" b="12700"/>
            <wp:docPr id="2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rcRect b="234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0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仿宋" w:hAnsi="仿宋" w:eastAsia="仿宋"/>
          <w:sz w:val="28"/>
          <w:szCs w:val="28"/>
        </w:rPr>
        <w:t>针对科技报告资源，我们提供了编制时间排序等排序指标。</w:t>
      </w:r>
    </w:p>
    <w:p>
      <w:r>
        <w:drawing>
          <wp:inline distT="0" distB="0" distL="114300" distR="114300">
            <wp:extent cx="5264150" cy="1384300"/>
            <wp:effectExtent l="19050" t="19050" r="12700" b="25400"/>
            <wp:docPr id="2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rcRect b="310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  <w:r>
        <w:rPr>
          <w:rFonts w:hint="eastAsia"/>
        </w:rPr>
        <w:t>针对成果资源，我们提供了成果级别、</w:t>
      </w:r>
      <w:r>
        <w:t>公布年份</w:t>
      </w:r>
      <w:r>
        <w:rPr>
          <w:rFonts w:hint="eastAsia"/>
        </w:rPr>
        <w:t>等排序指标。</w:t>
      </w:r>
    </w:p>
    <w:p>
      <w:pPr>
        <w:pStyle w:val="26"/>
        <w:ind w:left="560" w:hanging="560" w:hangingChars="200"/>
      </w:pPr>
      <w:r>
        <w:drawing>
          <wp:inline distT="0" distB="0" distL="114300" distR="114300">
            <wp:extent cx="5267325" cy="1652270"/>
            <wp:effectExtent l="12700" t="12700" r="28575" b="36830"/>
            <wp:docPr id="2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2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236" w:name="_Toc33604105"/>
      <w:bookmarkEnd w:id="236"/>
      <w:bookmarkStart w:id="237" w:name="_Toc33604104"/>
      <w:bookmarkEnd w:id="237"/>
      <w:bookmarkStart w:id="238" w:name="_Toc33604106"/>
      <w:bookmarkStart w:id="239" w:name="_Toc480043866"/>
      <w:bookmarkStart w:id="240" w:name="_Toc8097"/>
      <w:r>
        <w:rPr>
          <w:rFonts w:hint="eastAsia"/>
        </w:rPr>
        <w:t>结果筛选</w:t>
      </w:r>
      <w:bookmarkEnd w:id="238"/>
      <w:bookmarkEnd w:id="239"/>
      <w:bookmarkEnd w:id="240"/>
    </w:p>
    <w:p>
      <w:pPr>
        <w:pStyle w:val="26"/>
        <w:ind w:firstLine="560"/>
      </w:pPr>
      <w:r>
        <w:rPr>
          <w:rFonts w:hint="eastAsia"/>
        </w:rPr>
        <w:t>在检索结果页面，通过资源类型、出版时间、语种、来源数据库等限定条件进一步缩小检索结果范围。</w:t>
      </w:r>
    </w:p>
    <w:p>
      <w:pPr>
        <w:pStyle w:val="26"/>
        <w:ind w:firstLine="560"/>
      </w:pPr>
      <w:r>
        <w:rPr>
          <w:rFonts w:hint="eastAsia"/>
        </w:rPr>
        <w:t>例如，期刊的检索结果页面下，可以通过出版时间、学科分类、核心收录、语种、来源数据库、</w:t>
      </w:r>
      <w:r>
        <w:t>刊名</w:t>
      </w:r>
      <w:r>
        <w:rPr>
          <w:rFonts w:hint="eastAsia"/>
        </w:rPr>
        <w:t>、出版状态、作者、机构</w:t>
      </w:r>
      <w:r>
        <w:t>等</w:t>
      </w:r>
      <w:r>
        <w:rPr>
          <w:rFonts w:hint="eastAsia"/>
        </w:rPr>
        <w:t>限定对期刊论文进行筛选。</w:t>
      </w:r>
    </w:p>
    <w:p>
      <w:pPr>
        <w:pStyle w:val="26"/>
        <w:ind w:firstLine="560"/>
      </w:pPr>
      <w:r>
        <w:rPr>
          <w:rFonts w:hint="eastAsia"/>
        </w:rPr>
        <w:t>除此之外，系统还可为用户提供一键筛选 “</w:t>
      </w:r>
      <w:r>
        <w:rPr>
          <w:rFonts w:hint="eastAsia"/>
          <w:b/>
          <w:bCs/>
        </w:rPr>
        <w:t>核心期刊论文</w:t>
      </w:r>
      <w:r>
        <w:rPr>
          <w:rFonts w:hint="eastAsia"/>
        </w:rPr>
        <w:t>”的功能。</w:t>
      </w:r>
    </w:p>
    <w:p>
      <w:r>
        <w:drawing>
          <wp:inline distT="0" distB="0" distL="114300" distR="114300">
            <wp:extent cx="5270500" cy="2279015"/>
            <wp:effectExtent l="9525" t="9525" r="15875" b="1651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</w:p>
    <w:p>
      <w:pPr>
        <w:pStyle w:val="4"/>
        <w:numPr>
          <w:ilvl w:val="0"/>
          <w:numId w:val="5"/>
        </w:numPr>
      </w:pPr>
      <w:bookmarkStart w:id="241" w:name="_Toc26081"/>
      <w:bookmarkStart w:id="242" w:name="_Toc33604107"/>
      <w:bookmarkStart w:id="243" w:name="_Toc480043867"/>
      <w:r>
        <w:rPr>
          <w:rFonts w:hint="eastAsia"/>
        </w:rPr>
        <w:t>结果</w:t>
      </w:r>
      <w:r>
        <w:t>限定</w:t>
      </w:r>
      <w:bookmarkEnd w:id="241"/>
      <w:bookmarkEnd w:id="242"/>
      <w:bookmarkEnd w:id="243"/>
    </w:p>
    <w:p>
      <w:pPr>
        <w:pStyle w:val="26"/>
        <w:ind w:firstLine="560"/>
      </w:pPr>
      <w:r>
        <w:rPr>
          <w:rFonts w:hint="eastAsia"/>
        </w:rPr>
        <w:t>用户可通过“</w:t>
      </w:r>
      <w:r>
        <w:t>获取</w:t>
      </w:r>
      <w:r>
        <w:rPr>
          <w:rFonts w:hint="eastAsia"/>
        </w:rPr>
        <w:t>范围”的分面来对结果</w:t>
      </w:r>
      <w:r>
        <w:t>获取</w:t>
      </w:r>
      <w:r>
        <w:rPr>
          <w:rFonts w:hint="eastAsia"/>
        </w:rPr>
        <w:t>范围进行限定，包括</w:t>
      </w:r>
      <w:r>
        <w:rPr>
          <w:rFonts w:hint="eastAsia"/>
          <w:lang w:val="en-US" w:eastAsia="zh-CN"/>
        </w:rPr>
        <w:t>原文链接</w:t>
      </w:r>
      <w:r>
        <w:rPr>
          <w:rFonts w:hint="eastAsia"/>
        </w:rPr>
        <w:t>、有全文的资源、原文传递的资源、国外出版物。“只看第一作者”限定可在检索作者时限制显示该作者为第一作者的文献。</w:t>
      </w:r>
    </w:p>
    <w:p>
      <w:r>
        <w:drawing>
          <wp:inline distT="0" distB="0" distL="114300" distR="114300">
            <wp:extent cx="5271135" cy="2184400"/>
            <wp:effectExtent l="9525" t="9525" r="15240" b="1587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244" w:name="_Toc33604108"/>
      <w:bookmarkStart w:id="245" w:name="_Toc480043868"/>
      <w:bookmarkStart w:id="246" w:name="_Toc31339"/>
      <w:r>
        <w:rPr>
          <w:rFonts w:hint="eastAsia"/>
        </w:rPr>
        <w:t>结果操作</w:t>
      </w:r>
      <w:bookmarkEnd w:id="244"/>
      <w:bookmarkEnd w:id="245"/>
      <w:bookmarkEnd w:id="246"/>
    </w:p>
    <w:p>
      <w:pPr>
        <w:pStyle w:val="26"/>
        <w:ind w:firstLine="560"/>
      </w:pPr>
      <w:r>
        <w:rPr>
          <w:rFonts w:hint="eastAsia"/>
        </w:rPr>
        <w:t>系统通过严密的嵌接用户检索发现的过程，提供针对文献的多种便捷操作，包括对单篇操作或批量操作、下载、导出、分享、</w:t>
      </w:r>
      <w:r>
        <w:rPr>
          <w:rFonts w:hint="eastAsia"/>
          <w:lang w:val="en-US" w:eastAsia="zh-CN"/>
        </w:rPr>
        <w:t>收藏</w:t>
      </w:r>
      <w:r>
        <w:rPr>
          <w:rFonts w:hint="eastAsia"/>
        </w:rPr>
        <w:t>等。</w:t>
      </w:r>
    </w:p>
    <w:p>
      <w:pPr>
        <w:pStyle w:val="26"/>
        <w:ind w:firstLine="560"/>
      </w:pPr>
      <w:r>
        <w:rPr>
          <w:rFonts w:hint="eastAsia"/>
        </w:rPr>
        <w:t>对于单篇文献，用户可在检索结果页进行在线阅读、下载、导出、收藏、分享操作。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1149350"/>
            <wp:effectExtent l="12700" t="12700" r="29845" b="31750"/>
            <wp:docPr id="2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用户点击“导出”按钮，可根据需要导出不同的文献格式。例如导出规范的基于国家标准的</w:t>
      </w:r>
      <w:r>
        <w:rPr>
          <w:rFonts w:hint="eastAsia" w:ascii="仿宋" w:hAnsi="仿宋" w:eastAsia="仿宋"/>
          <w:b/>
          <w:bCs/>
          <w:sz w:val="28"/>
          <w:szCs w:val="28"/>
        </w:rPr>
        <w:t>参考文献格式</w:t>
      </w:r>
      <w:r>
        <w:rPr>
          <w:rFonts w:hint="eastAsia" w:ascii="仿宋" w:hAnsi="仿宋" w:eastAsia="仿宋"/>
          <w:sz w:val="28"/>
          <w:szCs w:val="28"/>
        </w:rPr>
        <w:t>，以及导出</w:t>
      </w:r>
      <w:r>
        <w:rPr>
          <w:rFonts w:ascii="仿宋" w:hAnsi="仿宋" w:eastAsia="仿宋"/>
          <w:sz w:val="28"/>
          <w:szCs w:val="28"/>
        </w:rPr>
        <w:t>NoteExpress</w:t>
      </w:r>
      <w:r>
        <w:rPr>
          <w:rFonts w:hint="eastAsia" w:ascii="仿宋" w:hAnsi="仿宋" w:eastAsia="仿宋"/>
          <w:sz w:val="28"/>
          <w:szCs w:val="28"/>
        </w:rPr>
        <w:t>等文献管理工具格式。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5420" cy="2454275"/>
            <wp:effectExtent l="9525" t="9525" r="20955" b="1270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对于多篇文献，用户可全选、清除、导出操作，实现多篇文献的统一操作管理。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0500" cy="2122170"/>
            <wp:effectExtent l="0" t="0" r="12700" b="11430"/>
            <wp:docPr id="2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247" w:name="_Toc17372"/>
      <w:bookmarkStart w:id="248" w:name="_Toc33604109"/>
      <w:r>
        <w:rPr>
          <w:rFonts w:hint="eastAsia"/>
        </w:rPr>
        <w:t>智能扩展</w:t>
      </w:r>
      <w:bookmarkEnd w:id="247"/>
      <w:bookmarkEnd w:id="248"/>
    </w:p>
    <w:p>
      <w:pPr>
        <w:pStyle w:val="26"/>
        <w:ind w:firstLine="560"/>
      </w:pPr>
      <w:r>
        <w:rPr>
          <w:rFonts w:hint="eastAsia"/>
        </w:rPr>
        <w:t>从所属范畴、同义词、上下位词、优选术语等维度出发，以可视化方式直观展示检索词的知识关系。范畴指检索词所属的学科或领域，同义词指与检索词意义相同的一组词语，上位术语指概念上外延更广的词，下位术语指概念上内涵更窄的词，优选术语指概念优先选择的术语。用户可自由浏览或点击，以此获取更符合需求的准确结果。</w:t>
      </w:r>
    </w:p>
    <w:p>
      <w:r>
        <w:drawing>
          <wp:inline distT="0" distB="0" distL="114300" distR="114300">
            <wp:extent cx="5272405" cy="1958340"/>
            <wp:effectExtent l="0" t="0" r="10795" b="22860"/>
            <wp:docPr id="2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270885"/>
            <wp:effectExtent l="12700" t="12700" r="27305" b="18415"/>
            <wp:docPr id="2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3"/>
        </w:numPr>
        <w:spacing w:before="400" w:after="400" w:line="415" w:lineRule="auto"/>
        <w:rPr>
          <w:rFonts w:hint="eastAsia" w:ascii="Calibri" w:hAnsi="Calibri" w:cs="Times New Roman"/>
        </w:rPr>
      </w:pPr>
      <w:bookmarkStart w:id="249" w:name="_Toc33604114"/>
      <w:bookmarkStart w:id="250" w:name="_Toc23432"/>
      <w:bookmarkStart w:id="251" w:name="_Toc480043870"/>
      <w:bookmarkStart w:id="252" w:name="_Toc480043875"/>
      <w:r>
        <w:rPr>
          <w:rFonts w:hint="eastAsia" w:ascii="Calibri" w:hAnsi="Calibri" w:cs="Times New Roman"/>
        </w:rPr>
        <w:t>文献获取</w:t>
      </w:r>
      <w:bookmarkEnd w:id="249"/>
      <w:bookmarkEnd w:id="250"/>
      <w:bookmarkEnd w:id="251"/>
    </w:p>
    <w:p>
      <w:pPr>
        <w:pStyle w:val="26"/>
        <w:ind w:firstLine="560"/>
      </w:pPr>
      <w:r>
        <w:rPr>
          <w:rFonts w:hint="eastAsia"/>
        </w:rPr>
        <w:t>万方智搜在知识产权许可下，为用户提供资源多种渠道的获取服务，帮助用户便捷获取所需资源，实现快速、简便、易用、流畅的无缝检索体验与文献获取保障。</w:t>
      </w:r>
    </w:p>
    <w:p>
      <w:pPr>
        <w:pStyle w:val="4"/>
        <w:numPr>
          <w:ilvl w:val="0"/>
          <w:numId w:val="6"/>
        </w:numPr>
      </w:pPr>
      <w:bookmarkStart w:id="253" w:name="_Toc480043871"/>
      <w:bookmarkStart w:id="254" w:name="_Toc33604115"/>
      <w:bookmarkStart w:id="255" w:name="_Toc23801"/>
      <w:r>
        <w:rPr>
          <w:rFonts w:hint="eastAsia"/>
        </w:rPr>
        <w:t>在线阅读</w:t>
      </w:r>
      <w:bookmarkEnd w:id="253"/>
      <w:r>
        <w:rPr>
          <w:rFonts w:hint="eastAsia"/>
        </w:rPr>
        <w:t>和下载</w:t>
      </w:r>
      <w:bookmarkEnd w:id="254"/>
      <w:bookmarkEnd w:id="255"/>
    </w:p>
    <w:p>
      <w:pPr>
        <w:pStyle w:val="26"/>
        <w:ind w:firstLine="560"/>
      </w:pPr>
      <w:r>
        <w:rPr>
          <w:rFonts w:hint="eastAsia"/>
        </w:rPr>
        <w:t>万方智搜支持全文的在线阅读的，包括期刊、学位、会议、专利、科技报告、法规、地方志资源。单击检索结果页面和文献详情页面的“在线阅读”按钮可以查看文献。</w:t>
      </w:r>
    </w:p>
    <w:p>
      <w:r>
        <w:drawing>
          <wp:inline distT="0" distB="0" distL="114300" distR="114300">
            <wp:extent cx="5267325" cy="1184910"/>
            <wp:effectExtent l="12700" t="12700" r="28575" b="21590"/>
            <wp:docPr id="2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84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913380"/>
            <wp:effectExtent l="12700" t="12700" r="24130" b="20320"/>
            <wp:docPr id="2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3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560"/>
      </w:pPr>
    </w:p>
    <w:p>
      <w:pPr>
        <w:pStyle w:val="26"/>
        <w:ind w:firstLine="560"/>
      </w:pPr>
      <w:r>
        <w:rPr>
          <w:rFonts w:hint="eastAsia"/>
        </w:rPr>
        <w:t>此外</w:t>
      </w:r>
      <w:r>
        <w:t>，</w:t>
      </w:r>
      <w:r>
        <w:rPr>
          <w:rFonts w:hint="eastAsia"/>
        </w:rPr>
        <w:t>我们对科技报告的获取流程</w:t>
      </w:r>
      <w:r>
        <w:t>进行了优化</w:t>
      </w:r>
      <w:r>
        <w:rPr>
          <w:rFonts w:hint="eastAsia"/>
        </w:rPr>
        <w:t>。在万方智搜，个人实名认证用户登录，检索出中文科技报告后，只需</w:t>
      </w:r>
      <w:r>
        <w:t>一次</w:t>
      </w:r>
      <w:r>
        <w:rPr>
          <w:rFonts w:hint="eastAsia"/>
        </w:rPr>
        <w:t>性补充部分</w:t>
      </w:r>
      <w:r>
        <w:t>个人信息</w:t>
      </w:r>
      <w:r>
        <w:rPr>
          <w:rFonts w:hint="eastAsia"/>
        </w:rPr>
        <w:t>并进行学者认证</w:t>
      </w:r>
      <w:r>
        <w:t>，</w:t>
      </w:r>
      <w:r>
        <w:rPr>
          <w:rFonts w:hint="eastAsia"/>
        </w:rPr>
        <w:t>即可实现在本平台永久无缝便捷的在线阅读。若该个人用户未认证，则会引导用户认证后，跳转至科技报告系统补全信息。</w:t>
      </w:r>
    </w:p>
    <w:p>
      <w:pPr>
        <w:pStyle w:val="26"/>
        <w:ind w:firstLine="0" w:firstLineChars="0"/>
        <w:jc w:val="left"/>
      </w:pPr>
      <w:r>
        <w:drawing>
          <wp:inline distT="0" distB="0" distL="114300" distR="114300">
            <wp:extent cx="5269865" cy="3461385"/>
            <wp:effectExtent l="12700" t="12700" r="26035" b="31115"/>
            <wp:docPr id="2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</w:pPr>
      <w:bookmarkStart w:id="256" w:name="_Toc33604119"/>
      <w:bookmarkEnd w:id="256"/>
      <w:bookmarkStart w:id="257" w:name="_Toc33604116"/>
      <w:bookmarkEnd w:id="257"/>
      <w:bookmarkStart w:id="258" w:name="_Toc33604118"/>
      <w:bookmarkEnd w:id="258"/>
      <w:bookmarkStart w:id="259" w:name="_Toc33604117"/>
      <w:bookmarkEnd w:id="259"/>
      <w:bookmarkStart w:id="260" w:name="_Toc33604120"/>
      <w:bookmarkStart w:id="261" w:name="_Toc20983"/>
      <w:bookmarkStart w:id="262" w:name="_Toc480043873"/>
      <w:r>
        <w:rPr>
          <w:rFonts w:hint="eastAsia"/>
        </w:rPr>
        <w:t>原文传递</w:t>
      </w:r>
      <w:bookmarkEnd w:id="260"/>
      <w:bookmarkEnd w:id="261"/>
      <w:bookmarkEnd w:id="262"/>
    </w:p>
    <w:p>
      <w:pPr>
        <w:pStyle w:val="26"/>
        <w:ind w:firstLine="560"/>
      </w:pPr>
      <w:r>
        <w:rPr>
          <w:rFonts w:hint="eastAsia"/>
        </w:rPr>
        <w:t>万方智搜除了提供本平台收录的资源外，还与国家科技图书情报中心（NSTL）、国家工程技术数字图书馆（ISTIC）合作，提供文献的原文传递服务。</w:t>
      </w:r>
      <w:r>
        <w:t>机构</w:t>
      </w:r>
      <w:r>
        <w:rPr>
          <w:rFonts w:hint="eastAsia"/>
        </w:rPr>
        <w:t>用户利用万方智搜检索到来自NSTL和ISTIC的资源，可以通过原文传递服务便捷快速的获取所需资源。</w:t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68595" cy="1149350"/>
            <wp:effectExtent l="0" t="0" r="14605" b="19050"/>
            <wp:docPr id="25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66690" cy="3960495"/>
            <wp:effectExtent l="12700" t="12700" r="29210" b="14605"/>
            <wp:docPr id="2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</w:pPr>
      <w:bookmarkStart w:id="263" w:name="_Toc480043874"/>
      <w:bookmarkStart w:id="264" w:name="_Toc33604121"/>
      <w:bookmarkStart w:id="265" w:name="_Toc20219"/>
      <w:bookmarkStart w:id="266" w:name="_Hlk495672366"/>
      <w:r>
        <w:rPr>
          <w:rFonts w:hint="eastAsia"/>
        </w:rPr>
        <w:t>多来源</w:t>
      </w:r>
      <w:bookmarkEnd w:id="263"/>
      <w:r>
        <w:rPr>
          <w:rFonts w:hint="eastAsia"/>
        </w:rPr>
        <w:t>获取</w:t>
      </w:r>
      <w:bookmarkEnd w:id="264"/>
      <w:bookmarkEnd w:id="265"/>
    </w:p>
    <w:bookmarkEnd w:id="266"/>
    <w:p>
      <w:pPr>
        <w:pStyle w:val="26"/>
        <w:ind w:firstLine="560"/>
      </w:pPr>
      <w:r>
        <w:rPr>
          <w:rFonts w:hint="eastAsia"/>
        </w:rPr>
        <w:t>系统还提供对资源的多来源展示。一方面为提供多来源的资源发现，同时也提供了稳定的全文获取途径。</w:t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70500" cy="718185"/>
            <wp:effectExtent l="12700" t="12700" r="25400" b="31115"/>
            <wp:docPr id="2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67960" cy="1938020"/>
            <wp:effectExtent l="12700" t="12700" r="27940" b="30480"/>
            <wp:docPr id="25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5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5B6FE7"/>
    <w:multiLevelType w:val="multilevel"/>
    <w:tmpl w:val="125B6FE7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20" w:hanging="42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1C220508"/>
    <w:multiLevelType w:val="multilevel"/>
    <w:tmpl w:val="1C220508"/>
    <w:lvl w:ilvl="0" w:tentative="0">
      <w:start w:val="2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4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decimal"/>
      <w:lvlText w:val="4.%9"/>
      <w:lvlJc w:val="left"/>
      <w:pPr>
        <w:ind w:left="562" w:hanging="420"/>
      </w:pPr>
      <w:rPr>
        <w:rFonts w:hint="eastAsia"/>
      </w:rPr>
    </w:lvl>
  </w:abstractNum>
  <w:abstractNum w:abstractNumId="2">
    <w:nsid w:val="1C3137A5"/>
    <w:multiLevelType w:val="multilevel"/>
    <w:tmpl w:val="1C3137A5"/>
    <w:lvl w:ilvl="0" w:tentative="0">
      <w:start w:val="1"/>
      <w:numFmt w:val="decimal"/>
      <w:pStyle w:val="5"/>
      <w:suff w:val="space"/>
      <w:lvlText w:val="1.2.%1."/>
      <w:lvlJc w:val="left"/>
      <w:pPr>
        <w:ind w:left="169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2117" w:hanging="420"/>
      </w:pPr>
    </w:lvl>
    <w:lvl w:ilvl="2" w:tentative="0">
      <w:start w:val="1"/>
      <w:numFmt w:val="lowerRoman"/>
      <w:lvlText w:val="%3."/>
      <w:lvlJc w:val="right"/>
      <w:pPr>
        <w:ind w:left="2537" w:hanging="420"/>
      </w:pPr>
    </w:lvl>
    <w:lvl w:ilvl="3" w:tentative="0">
      <w:start w:val="1"/>
      <w:numFmt w:val="decimal"/>
      <w:lvlText w:val="%4."/>
      <w:lvlJc w:val="left"/>
      <w:pPr>
        <w:ind w:left="2957" w:hanging="420"/>
      </w:pPr>
    </w:lvl>
    <w:lvl w:ilvl="4" w:tentative="0">
      <w:start w:val="1"/>
      <w:numFmt w:val="lowerLetter"/>
      <w:lvlText w:val="%5)"/>
      <w:lvlJc w:val="left"/>
      <w:pPr>
        <w:ind w:left="3377" w:hanging="420"/>
      </w:pPr>
    </w:lvl>
    <w:lvl w:ilvl="5" w:tentative="0">
      <w:start w:val="1"/>
      <w:numFmt w:val="lowerRoman"/>
      <w:lvlText w:val="%6."/>
      <w:lvlJc w:val="right"/>
      <w:pPr>
        <w:ind w:left="3797" w:hanging="420"/>
      </w:pPr>
    </w:lvl>
    <w:lvl w:ilvl="6" w:tentative="0">
      <w:start w:val="1"/>
      <w:numFmt w:val="decimal"/>
      <w:lvlText w:val="%7."/>
      <w:lvlJc w:val="left"/>
      <w:pPr>
        <w:ind w:left="4217" w:hanging="420"/>
      </w:pPr>
    </w:lvl>
    <w:lvl w:ilvl="7" w:tentative="0">
      <w:start w:val="1"/>
      <w:numFmt w:val="lowerLetter"/>
      <w:lvlText w:val="%8)"/>
      <w:lvlJc w:val="left"/>
      <w:pPr>
        <w:ind w:left="4637" w:hanging="420"/>
      </w:pPr>
    </w:lvl>
    <w:lvl w:ilvl="8" w:tentative="0">
      <w:start w:val="1"/>
      <w:numFmt w:val="lowerRoman"/>
      <w:lvlText w:val="%9."/>
      <w:lvlJc w:val="right"/>
      <w:pPr>
        <w:ind w:left="5057" w:hanging="420"/>
      </w:pPr>
    </w:lvl>
  </w:abstractNum>
  <w:abstractNum w:abstractNumId="3">
    <w:nsid w:val="439F6906"/>
    <w:multiLevelType w:val="multilevel"/>
    <w:tmpl w:val="439F6906"/>
    <w:lvl w:ilvl="0" w:tentative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EA3172"/>
    <w:multiLevelType w:val="multilevel"/>
    <w:tmpl w:val="55EA317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6F7D5080"/>
    <w:multiLevelType w:val="multilevel"/>
    <w:tmpl w:val="6F7D5080"/>
    <w:lvl w:ilvl="0" w:tentative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9A"/>
    <w:rsid w:val="00005F0C"/>
    <w:rsid w:val="00006491"/>
    <w:rsid w:val="00007E57"/>
    <w:rsid w:val="00016220"/>
    <w:rsid w:val="00021A24"/>
    <w:rsid w:val="00022D2C"/>
    <w:rsid w:val="000300C4"/>
    <w:rsid w:val="00030339"/>
    <w:rsid w:val="00033407"/>
    <w:rsid w:val="00033DC7"/>
    <w:rsid w:val="000364CF"/>
    <w:rsid w:val="00047815"/>
    <w:rsid w:val="0004792B"/>
    <w:rsid w:val="000513B4"/>
    <w:rsid w:val="0005201D"/>
    <w:rsid w:val="00054967"/>
    <w:rsid w:val="00064F40"/>
    <w:rsid w:val="00070041"/>
    <w:rsid w:val="00073D56"/>
    <w:rsid w:val="000825C8"/>
    <w:rsid w:val="00083F17"/>
    <w:rsid w:val="00084A84"/>
    <w:rsid w:val="00085500"/>
    <w:rsid w:val="00087D1C"/>
    <w:rsid w:val="00093227"/>
    <w:rsid w:val="00097803"/>
    <w:rsid w:val="000A4436"/>
    <w:rsid w:val="000B4651"/>
    <w:rsid w:val="000B71E2"/>
    <w:rsid w:val="000C0537"/>
    <w:rsid w:val="000E000C"/>
    <w:rsid w:val="000E0855"/>
    <w:rsid w:val="000E2EB3"/>
    <w:rsid w:val="000E39E2"/>
    <w:rsid w:val="000E5402"/>
    <w:rsid w:val="000F672B"/>
    <w:rsid w:val="001072FA"/>
    <w:rsid w:val="00113B3A"/>
    <w:rsid w:val="001218E1"/>
    <w:rsid w:val="00127AFE"/>
    <w:rsid w:val="00133CE4"/>
    <w:rsid w:val="00135AF7"/>
    <w:rsid w:val="00137672"/>
    <w:rsid w:val="00137D63"/>
    <w:rsid w:val="0014369D"/>
    <w:rsid w:val="001478A4"/>
    <w:rsid w:val="0015402A"/>
    <w:rsid w:val="001640C1"/>
    <w:rsid w:val="001643DB"/>
    <w:rsid w:val="00165AD0"/>
    <w:rsid w:val="00171D31"/>
    <w:rsid w:val="001759FA"/>
    <w:rsid w:val="00180E0B"/>
    <w:rsid w:val="0018134E"/>
    <w:rsid w:val="00181BEC"/>
    <w:rsid w:val="001A5453"/>
    <w:rsid w:val="001B417D"/>
    <w:rsid w:val="001B5C91"/>
    <w:rsid w:val="001D409A"/>
    <w:rsid w:val="001D4B20"/>
    <w:rsid w:val="001E60CE"/>
    <w:rsid w:val="001E6CB4"/>
    <w:rsid w:val="001F2EB6"/>
    <w:rsid w:val="002014E2"/>
    <w:rsid w:val="00204E6F"/>
    <w:rsid w:val="00210889"/>
    <w:rsid w:val="002125B0"/>
    <w:rsid w:val="00212CF9"/>
    <w:rsid w:val="00212DAF"/>
    <w:rsid w:val="002205BA"/>
    <w:rsid w:val="00221D68"/>
    <w:rsid w:val="00222B21"/>
    <w:rsid w:val="0022336F"/>
    <w:rsid w:val="002307A7"/>
    <w:rsid w:val="00233B7D"/>
    <w:rsid w:val="00244CAD"/>
    <w:rsid w:val="002571A8"/>
    <w:rsid w:val="002645A8"/>
    <w:rsid w:val="00266F8D"/>
    <w:rsid w:val="0027091D"/>
    <w:rsid w:val="002711FD"/>
    <w:rsid w:val="002805C5"/>
    <w:rsid w:val="00285C5C"/>
    <w:rsid w:val="00294AF5"/>
    <w:rsid w:val="00295467"/>
    <w:rsid w:val="0029709F"/>
    <w:rsid w:val="00297FC9"/>
    <w:rsid w:val="002A4258"/>
    <w:rsid w:val="002B16F8"/>
    <w:rsid w:val="002C15CF"/>
    <w:rsid w:val="002C373C"/>
    <w:rsid w:val="002C4A26"/>
    <w:rsid w:val="002C7F0E"/>
    <w:rsid w:val="002D0A79"/>
    <w:rsid w:val="002D0B8E"/>
    <w:rsid w:val="002D47FF"/>
    <w:rsid w:val="002D652C"/>
    <w:rsid w:val="002E5EFE"/>
    <w:rsid w:val="002F426C"/>
    <w:rsid w:val="002F5668"/>
    <w:rsid w:val="002F7F19"/>
    <w:rsid w:val="00313A9A"/>
    <w:rsid w:val="0031558C"/>
    <w:rsid w:val="00315EA2"/>
    <w:rsid w:val="00317055"/>
    <w:rsid w:val="00325122"/>
    <w:rsid w:val="0032535F"/>
    <w:rsid w:val="00327C4C"/>
    <w:rsid w:val="0033492A"/>
    <w:rsid w:val="00335A01"/>
    <w:rsid w:val="003403EE"/>
    <w:rsid w:val="00341932"/>
    <w:rsid w:val="003452E6"/>
    <w:rsid w:val="003548A2"/>
    <w:rsid w:val="00354EE4"/>
    <w:rsid w:val="00356800"/>
    <w:rsid w:val="00361517"/>
    <w:rsid w:val="00361B0F"/>
    <w:rsid w:val="0036292B"/>
    <w:rsid w:val="0036333C"/>
    <w:rsid w:val="00363E84"/>
    <w:rsid w:val="00371F1A"/>
    <w:rsid w:val="00374B31"/>
    <w:rsid w:val="0037762A"/>
    <w:rsid w:val="00381D6A"/>
    <w:rsid w:val="00382F89"/>
    <w:rsid w:val="003851FB"/>
    <w:rsid w:val="0039012D"/>
    <w:rsid w:val="00391432"/>
    <w:rsid w:val="00394056"/>
    <w:rsid w:val="003A2227"/>
    <w:rsid w:val="003A3399"/>
    <w:rsid w:val="003A4DA0"/>
    <w:rsid w:val="003A6AD0"/>
    <w:rsid w:val="003C4768"/>
    <w:rsid w:val="003C4D4B"/>
    <w:rsid w:val="003C5217"/>
    <w:rsid w:val="003D0EA8"/>
    <w:rsid w:val="003D1C2F"/>
    <w:rsid w:val="003D3AF8"/>
    <w:rsid w:val="003F1246"/>
    <w:rsid w:val="003F194F"/>
    <w:rsid w:val="003F5CAC"/>
    <w:rsid w:val="003F66FA"/>
    <w:rsid w:val="00401D6F"/>
    <w:rsid w:val="00405C1F"/>
    <w:rsid w:val="00407EE9"/>
    <w:rsid w:val="00413838"/>
    <w:rsid w:val="00421958"/>
    <w:rsid w:val="00424499"/>
    <w:rsid w:val="00425A19"/>
    <w:rsid w:val="004266C9"/>
    <w:rsid w:val="004269D0"/>
    <w:rsid w:val="0043248F"/>
    <w:rsid w:val="0043280F"/>
    <w:rsid w:val="00433CCE"/>
    <w:rsid w:val="00437658"/>
    <w:rsid w:val="00440E4E"/>
    <w:rsid w:val="004418D8"/>
    <w:rsid w:val="00443960"/>
    <w:rsid w:val="00447247"/>
    <w:rsid w:val="00450E70"/>
    <w:rsid w:val="004512E1"/>
    <w:rsid w:val="0045547D"/>
    <w:rsid w:val="00455D25"/>
    <w:rsid w:val="00460B16"/>
    <w:rsid w:val="00477A1B"/>
    <w:rsid w:val="00484010"/>
    <w:rsid w:val="00484448"/>
    <w:rsid w:val="004B28FD"/>
    <w:rsid w:val="004B55C4"/>
    <w:rsid w:val="004D6AA1"/>
    <w:rsid w:val="004D7B1C"/>
    <w:rsid w:val="004E25F4"/>
    <w:rsid w:val="004E41A5"/>
    <w:rsid w:val="004F5DD5"/>
    <w:rsid w:val="005054A3"/>
    <w:rsid w:val="00513431"/>
    <w:rsid w:val="0052027F"/>
    <w:rsid w:val="00524B42"/>
    <w:rsid w:val="00527779"/>
    <w:rsid w:val="00530698"/>
    <w:rsid w:val="0053115B"/>
    <w:rsid w:val="00531AD2"/>
    <w:rsid w:val="00533F76"/>
    <w:rsid w:val="005405E1"/>
    <w:rsid w:val="00540D4A"/>
    <w:rsid w:val="005429C2"/>
    <w:rsid w:val="00545F6C"/>
    <w:rsid w:val="00550DE9"/>
    <w:rsid w:val="00551FEA"/>
    <w:rsid w:val="00573C3C"/>
    <w:rsid w:val="00575CFC"/>
    <w:rsid w:val="00577249"/>
    <w:rsid w:val="0057773C"/>
    <w:rsid w:val="00577E6E"/>
    <w:rsid w:val="00586591"/>
    <w:rsid w:val="00593F7A"/>
    <w:rsid w:val="00596323"/>
    <w:rsid w:val="00596380"/>
    <w:rsid w:val="005970D2"/>
    <w:rsid w:val="005A4919"/>
    <w:rsid w:val="005A624B"/>
    <w:rsid w:val="005A745D"/>
    <w:rsid w:val="005A7686"/>
    <w:rsid w:val="005A7AF8"/>
    <w:rsid w:val="005B7EE2"/>
    <w:rsid w:val="005C6038"/>
    <w:rsid w:val="005C68E8"/>
    <w:rsid w:val="005D3BD9"/>
    <w:rsid w:val="005D458A"/>
    <w:rsid w:val="005D6875"/>
    <w:rsid w:val="005D75B5"/>
    <w:rsid w:val="005E3554"/>
    <w:rsid w:val="005F2D1D"/>
    <w:rsid w:val="00610870"/>
    <w:rsid w:val="00610C1B"/>
    <w:rsid w:val="00621ED4"/>
    <w:rsid w:val="0062737D"/>
    <w:rsid w:val="006325E9"/>
    <w:rsid w:val="0063773A"/>
    <w:rsid w:val="00645918"/>
    <w:rsid w:val="00654D3F"/>
    <w:rsid w:val="006636CB"/>
    <w:rsid w:val="00666037"/>
    <w:rsid w:val="006737FF"/>
    <w:rsid w:val="00676AA9"/>
    <w:rsid w:val="00676AB5"/>
    <w:rsid w:val="00683176"/>
    <w:rsid w:val="00685477"/>
    <w:rsid w:val="00686252"/>
    <w:rsid w:val="00691B89"/>
    <w:rsid w:val="006A4308"/>
    <w:rsid w:val="006A7189"/>
    <w:rsid w:val="006B097E"/>
    <w:rsid w:val="006B4064"/>
    <w:rsid w:val="006B4759"/>
    <w:rsid w:val="006B5FEB"/>
    <w:rsid w:val="006B6CB4"/>
    <w:rsid w:val="006C254A"/>
    <w:rsid w:val="006C5D12"/>
    <w:rsid w:val="006C7658"/>
    <w:rsid w:val="006D0BB7"/>
    <w:rsid w:val="006D2A71"/>
    <w:rsid w:val="006D38CC"/>
    <w:rsid w:val="006D5751"/>
    <w:rsid w:val="006E6D92"/>
    <w:rsid w:val="006F148A"/>
    <w:rsid w:val="006F1DFA"/>
    <w:rsid w:val="00700237"/>
    <w:rsid w:val="00700D9C"/>
    <w:rsid w:val="007046F9"/>
    <w:rsid w:val="00711C20"/>
    <w:rsid w:val="00714316"/>
    <w:rsid w:val="00723687"/>
    <w:rsid w:val="00733602"/>
    <w:rsid w:val="007341B5"/>
    <w:rsid w:val="00746F30"/>
    <w:rsid w:val="007479D7"/>
    <w:rsid w:val="0075092B"/>
    <w:rsid w:val="0075575F"/>
    <w:rsid w:val="00755A2E"/>
    <w:rsid w:val="00756D22"/>
    <w:rsid w:val="0076660D"/>
    <w:rsid w:val="007667CA"/>
    <w:rsid w:val="00770637"/>
    <w:rsid w:val="007708BA"/>
    <w:rsid w:val="0077692A"/>
    <w:rsid w:val="0078060A"/>
    <w:rsid w:val="00781F1D"/>
    <w:rsid w:val="00783CE1"/>
    <w:rsid w:val="00790261"/>
    <w:rsid w:val="00791A10"/>
    <w:rsid w:val="007A4EB6"/>
    <w:rsid w:val="007B00FF"/>
    <w:rsid w:val="007B0F99"/>
    <w:rsid w:val="007B2851"/>
    <w:rsid w:val="007C3899"/>
    <w:rsid w:val="007C5A7E"/>
    <w:rsid w:val="007D41C9"/>
    <w:rsid w:val="007D5E54"/>
    <w:rsid w:val="007E19A5"/>
    <w:rsid w:val="007E4907"/>
    <w:rsid w:val="007F1862"/>
    <w:rsid w:val="007F1929"/>
    <w:rsid w:val="007F42D5"/>
    <w:rsid w:val="007F575F"/>
    <w:rsid w:val="00806D6B"/>
    <w:rsid w:val="008153E3"/>
    <w:rsid w:val="0082345C"/>
    <w:rsid w:val="008242E8"/>
    <w:rsid w:val="00824F4B"/>
    <w:rsid w:val="00831182"/>
    <w:rsid w:val="00832032"/>
    <w:rsid w:val="00835476"/>
    <w:rsid w:val="00835CBB"/>
    <w:rsid w:val="00842CF7"/>
    <w:rsid w:val="00844E48"/>
    <w:rsid w:val="00845914"/>
    <w:rsid w:val="00846E9E"/>
    <w:rsid w:val="008507E3"/>
    <w:rsid w:val="008634B9"/>
    <w:rsid w:val="00867427"/>
    <w:rsid w:val="00877624"/>
    <w:rsid w:val="008849A2"/>
    <w:rsid w:val="008959B7"/>
    <w:rsid w:val="008A4E73"/>
    <w:rsid w:val="008A6775"/>
    <w:rsid w:val="008B3846"/>
    <w:rsid w:val="008C4793"/>
    <w:rsid w:val="008D213F"/>
    <w:rsid w:val="008D348F"/>
    <w:rsid w:val="008D3F82"/>
    <w:rsid w:val="008D69AC"/>
    <w:rsid w:val="008E1006"/>
    <w:rsid w:val="008E4DCE"/>
    <w:rsid w:val="008F0478"/>
    <w:rsid w:val="00901A15"/>
    <w:rsid w:val="009130BB"/>
    <w:rsid w:val="00913A5A"/>
    <w:rsid w:val="00917249"/>
    <w:rsid w:val="0093470A"/>
    <w:rsid w:val="00934A87"/>
    <w:rsid w:val="009410DB"/>
    <w:rsid w:val="00944E70"/>
    <w:rsid w:val="00947089"/>
    <w:rsid w:val="009479E0"/>
    <w:rsid w:val="00953A87"/>
    <w:rsid w:val="00953CA8"/>
    <w:rsid w:val="0095438C"/>
    <w:rsid w:val="009546AF"/>
    <w:rsid w:val="0095660C"/>
    <w:rsid w:val="00963444"/>
    <w:rsid w:val="00971110"/>
    <w:rsid w:val="009A78C1"/>
    <w:rsid w:val="009B2515"/>
    <w:rsid w:val="009B52F5"/>
    <w:rsid w:val="009C21EF"/>
    <w:rsid w:val="009C611F"/>
    <w:rsid w:val="009D4831"/>
    <w:rsid w:val="009D6A8A"/>
    <w:rsid w:val="009E38DD"/>
    <w:rsid w:val="009E4B1E"/>
    <w:rsid w:val="009E6F1F"/>
    <w:rsid w:val="009E7E11"/>
    <w:rsid w:val="009F1941"/>
    <w:rsid w:val="00A07039"/>
    <w:rsid w:val="00A11CDF"/>
    <w:rsid w:val="00A22E7C"/>
    <w:rsid w:val="00A264CD"/>
    <w:rsid w:val="00A32D0E"/>
    <w:rsid w:val="00A3489D"/>
    <w:rsid w:val="00A5165D"/>
    <w:rsid w:val="00A55601"/>
    <w:rsid w:val="00A567CE"/>
    <w:rsid w:val="00A612DD"/>
    <w:rsid w:val="00A63F3C"/>
    <w:rsid w:val="00A73541"/>
    <w:rsid w:val="00A73927"/>
    <w:rsid w:val="00A76FBE"/>
    <w:rsid w:val="00A8055B"/>
    <w:rsid w:val="00A914C0"/>
    <w:rsid w:val="00A923C7"/>
    <w:rsid w:val="00A93D21"/>
    <w:rsid w:val="00AA06F5"/>
    <w:rsid w:val="00AA45C2"/>
    <w:rsid w:val="00AA4829"/>
    <w:rsid w:val="00AB4889"/>
    <w:rsid w:val="00AC2EF5"/>
    <w:rsid w:val="00AC4EA1"/>
    <w:rsid w:val="00AC5ABC"/>
    <w:rsid w:val="00AC7500"/>
    <w:rsid w:val="00AD126D"/>
    <w:rsid w:val="00AD1C02"/>
    <w:rsid w:val="00AE075E"/>
    <w:rsid w:val="00AE1ACB"/>
    <w:rsid w:val="00AF6269"/>
    <w:rsid w:val="00B00D01"/>
    <w:rsid w:val="00B0521A"/>
    <w:rsid w:val="00B06484"/>
    <w:rsid w:val="00B069D8"/>
    <w:rsid w:val="00B12528"/>
    <w:rsid w:val="00B12E66"/>
    <w:rsid w:val="00B132FD"/>
    <w:rsid w:val="00B15155"/>
    <w:rsid w:val="00B2115E"/>
    <w:rsid w:val="00B32BCA"/>
    <w:rsid w:val="00B34AB4"/>
    <w:rsid w:val="00B35CEF"/>
    <w:rsid w:val="00B456A0"/>
    <w:rsid w:val="00B52511"/>
    <w:rsid w:val="00B6048D"/>
    <w:rsid w:val="00B60D9F"/>
    <w:rsid w:val="00B62465"/>
    <w:rsid w:val="00B709FE"/>
    <w:rsid w:val="00B7409F"/>
    <w:rsid w:val="00B747D8"/>
    <w:rsid w:val="00B74D98"/>
    <w:rsid w:val="00B7709C"/>
    <w:rsid w:val="00B818AF"/>
    <w:rsid w:val="00B86FAD"/>
    <w:rsid w:val="00B939AD"/>
    <w:rsid w:val="00B97DDA"/>
    <w:rsid w:val="00BA21C8"/>
    <w:rsid w:val="00BA711C"/>
    <w:rsid w:val="00BC56DA"/>
    <w:rsid w:val="00BC741C"/>
    <w:rsid w:val="00BD1FB4"/>
    <w:rsid w:val="00BD3B19"/>
    <w:rsid w:val="00BE1682"/>
    <w:rsid w:val="00BF1450"/>
    <w:rsid w:val="00BF14DD"/>
    <w:rsid w:val="00BF1713"/>
    <w:rsid w:val="00BF43D8"/>
    <w:rsid w:val="00BF487B"/>
    <w:rsid w:val="00BF77AF"/>
    <w:rsid w:val="00BF7BB5"/>
    <w:rsid w:val="00C035FD"/>
    <w:rsid w:val="00C067FB"/>
    <w:rsid w:val="00C16DF9"/>
    <w:rsid w:val="00C17460"/>
    <w:rsid w:val="00C22651"/>
    <w:rsid w:val="00C241E4"/>
    <w:rsid w:val="00C3297D"/>
    <w:rsid w:val="00C36CB2"/>
    <w:rsid w:val="00C57785"/>
    <w:rsid w:val="00C6175C"/>
    <w:rsid w:val="00C67245"/>
    <w:rsid w:val="00C6734E"/>
    <w:rsid w:val="00C71114"/>
    <w:rsid w:val="00C811C0"/>
    <w:rsid w:val="00C813D5"/>
    <w:rsid w:val="00C81617"/>
    <w:rsid w:val="00C914B1"/>
    <w:rsid w:val="00C93A01"/>
    <w:rsid w:val="00CC39C9"/>
    <w:rsid w:val="00CD41EA"/>
    <w:rsid w:val="00CE09BD"/>
    <w:rsid w:val="00CE0C29"/>
    <w:rsid w:val="00D0279D"/>
    <w:rsid w:val="00D1011D"/>
    <w:rsid w:val="00D140A4"/>
    <w:rsid w:val="00D1459E"/>
    <w:rsid w:val="00D1506B"/>
    <w:rsid w:val="00D16034"/>
    <w:rsid w:val="00D2264F"/>
    <w:rsid w:val="00D2427A"/>
    <w:rsid w:val="00D27150"/>
    <w:rsid w:val="00D313D8"/>
    <w:rsid w:val="00D322E3"/>
    <w:rsid w:val="00D35293"/>
    <w:rsid w:val="00D35FDF"/>
    <w:rsid w:val="00D43001"/>
    <w:rsid w:val="00D43903"/>
    <w:rsid w:val="00D44DC2"/>
    <w:rsid w:val="00D4533E"/>
    <w:rsid w:val="00D53A1A"/>
    <w:rsid w:val="00D677AC"/>
    <w:rsid w:val="00D721FA"/>
    <w:rsid w:val="00D75092"/>
    <w:rsid w:val="00D859F4"/>
    <w:rsid w:val="00D930CD"/>
    <w:rsid w:val="00DA3B49"/>
    <w:rsid w:val="00DB0255"/>
    <w:rsid w:val="00DB0A83"/>
    <w:rsid w:val="00DB3114"/>
    <w:rsid w:val="00DB34F4"/>
    <w:rsid w:val="00DB7AF1"/>
    <w:rsid w:val="00DC0F00"/>
    <w:rsid w:val="00DC13D8"/>
    <w:rsid w:val="00DD049A"/>
    <w:rsid w:val="00DD1482"/>
    <w:rsid w:val="00E02740"/>
    <w:rsid w:val="00E04282"/>
    <w:rsid w:val="00E049AB"/>
    <w:rsid w:val="00E06F9B"/>
    <w:rsid w:val="00E201C1"/>
    <w:rsid w:val="00E21354"/>
    <w:rsid w:val="00E22C33"/>
    <w:rsid w:val="00E25EB8"/>
    <w:rsid w:val="00E34D76"/>
    <w:rsid w:val="00E35B49"/>
    <w:rsid w:val="00E37D11"/>
    <w:rsid w:val="00E426E8"/>
    <w:rsid w:val="00E42E42"/>
    <w:rsid w:val="00E4383C"/>
    <w:rsid w:val="00E46AA4"/>
    <w:rsid w:val="00E47217"/>
    <w:rsid w:val="00E47B47"/>
    <w:rsid w:val="00E50F72"/>
    <w:rsid w:val="00E52730"/>
    <w:rsid w:val="00E5372F"/>
    <w:rsid w:val="00E56F6B"/>
    <w:rsid w:val="00E71CB8"/>
    <w:rsid w:val="00E7258E"/>
    <w:rsid w:val="00E76ADC"/>
    <w:rsid w:val="00E92141"/>
    <w:rsid w:val="00E94DFE"/>
    <w:rsid w:val="00EA0DAE"/>
    <w:rsid w:val="00EA0EB5"/>
    <w:rsid w:val="00EA2373"/>
    <w:rsid w:val="00EA4A3A"/>
    <w:rsid w:val="00EB66CE"/>
    <w:rsid w:val="00EB7C3D"/>
    <w:rsid w:val="00EC3FB7"/>
    <w:rsid w:val="00EC46AD"/>
    <w:rsid w:val="00ED6D86"/>
    <w:rsid w:val="00EE3E5D"/>
    <w:rsid w:val="00EE46C9"/>
    <w:rsid w:val="00EE70D4"/>
    <w:rsid w:val="00EE7CC8"/>
    <w:rsid w:val="00EF1C5E"/>
    <w:rsid w:val="00EF3769"/>
    <w:rsid w:val="00EF746F"/>
    <w:rsid w:val="00EF7BCC"/>
    <w:rsid w:val="00EF7CC3"/>
    <w:rsid w:val="00F0085F"/>
    <w:rsid w:val="00F07113"/>
    <w:rsid w:val="00F078AA"/>
    <w:rsid w:val="00F215C1"/>
    <w:rsid w:val="00F225A3"/>
    <w:rsid w:val="00F27A85"/>
    <w:rsid w:val="00F33378"/>
    <w:rsid w:val="00F36EC0"/>
    <w:rsid w:val="00F4693F"/>
    <w:rsid w:val="00F52AA3"/>
    <w:rsid w:val="00F56B1A"/>
    <w:rsid w:val="00F57686"/>
    <w:rsid w:val="00F6173D"/>
    <w:rsid w:val="00F80BC6"/>
    <w:rsid w:val="00F81597"/>
    <w:rsid w:val="00F84B25"/>
    <w:rsid w:val="00F9152D"/>
    <w:rsid w:val="00F97391"/>
    <w:rsid w:val="00FB5ED7"/>
    <w:rsid w:val="00FC04DD"/>
    <w:rsid w:val="00FC154B"/>
    <w:rsid w:val="00FC2998"/>
    <w:rsid w:val="00FC405D"/>
    <w:rsid w:val="00FC535E"/>
    <w:rsid w:val="00FD0682"/>
    <w:rsid w:val="00FE025E"/>
    <w:rsid w:val="00FE5F90"/>
    <w:rsid w:val="00FF00C9"/>
    <w:rsid w:val="00FF4077"/>
    <w:rsid w:val="00FF5AE3"/>
    <w:rsid w:val="00FF659A"/>
    <w:rsid w:val="0108148B"/>
    <w:rsid w:val="03EC1B56"/>
    <w:rsid w:val="06EA7994"/>
    <w:rsid w:val="072E352A"/>
    <w:rsid w:val="08291B99"/>
    <w:rsid w:val="09F5611F"/>
    <w:rsid w:val="0A92623B"/>
    <w:rsid w:val="120714B4"/>
    <w:rsid w:val="1EE65A37"/>
    <w:rsid w:val="1F027D05"/>
    <w:rsid w:val="1FF775ED"/>
    <w:rsid w:val="2A725DE9"/>
    <w:rsid w:val="2E8C1D05"/>
    <w:rsid w:val="2FBDC17D"/>
    <w:rsid w:val="33890288"/>
    <w:rsid w:val="357D4EE3"/>
    <w:rsid w:val="36C3228C"/>
    <w:rsid w:val="37BD5688"/>
    <w:rsid w:val="3D7EF5C8"/>
    <w:rsid w:val="3DBC2DD9"/>
    <w:rsid w:val="3E33EE0B"/>
    <w:rsid w:val="3E4B1C4A"/>
    <w:rsid w:val="3E8215C4"/>
    <w:rsid w:val="3EAFB594"/>
    <w:rsid w:val="3F1D6002"/>
    <w:rsid w:val="4039035A"/>
    <w:rsid w:val="45DFB056"/>
    <w:rsid w:val="45EFAF97"/>
    <w:rsid w:val="4B02512F"/>
    <w:rsid w:val="4B943002"/>
    <w:rsid w:val="4D1F33F6"/>
    <w:rsid w:val="509A3525"/>
    <w:rsid w:val="51984AA1"/>
    <w:rsid w:val="5A1B3933"/>
    <w:rsid w:val="5BF32012"/>
    <w:rsid w:val="5CAE6016"/>
    <w:rsid w:val="5D7B1AE5"/>
    <w:rsid w:val="5D7DC618"/>
    <w:rsid w:val="61791E4C"/>
    <w:rsid w:val="6D7327DA"/>
    <w:rsid w:val="6DEF1969"/>
    <w:rsid w:val="6E539CC0"/>
    <w:rsid w:val="6F7CDE6B"/>
    <w:rsid w:val="6FEF74EF"/>
    <w:rsid w:val="6FFF79A0"/>
    <w:rsid w:val="74BECE1E"/>
    <w:rsid w:val="77FB47BA"/>
    <w:rsid w:val="79FA78AC"/>
    <w:rsid w:val="7B7F55D4"/>
    <w:rsid w:val="7BAF4716"/>
    <w:rsid w:val="7C160568"/>
    <w:rsid w:val="7CEDF591"/>
    <w:rsid w:val="7D570A32"/>
    <w:rsid w:val="7DFDBBDC"/>
    <w:rsid w:val="7E6E7B59"/>
    <w:rsid w:val="7E8D5D1F"/>
    <w:rsid w:val="7EC6D667"/>
    <w:rsid w:val="7EDFB82E"/>
    <w:rsid w:val="7FBF7E37"/>
    <w:rsid w:val="7FE963ED"/>
    <w:rsid w:val="7FF93245"/>
    <w:rsid w:val="9FF4880B"/>
    <w:rsid w:val="AFF74AF3"/>
    <w:rsid w:val="B2A51EB7"/>
    <w:rsid w:val="B5DB8037"/>
    <w:rsid w:val="B7BBA5CB"/>
    <w:rsid w:val="BBDC405D"/>
    <w:rsid w:val="BF1FB62A"/>
    <w:rsid w:val="BFCF7EE0"/>
    <w:rsid w:val="BFFD948C"/>
    <w:rsid w:val="C5EF7449"/>
    <w:rsid w:val="D78D6A01"/>
    <w:rsid w:val="DBFFD81A"/>
    <w:rsid w:val="DDB3165F"/>
    <w:rsid w:val="DDF5C9B2"/>
    <w:rsid w:val="DDFE3D00"/>
    <w:rsid w:val="DF7F4656"/>
    <w:rsid w:val="DF939ACC"/>
    <w:rsid w:val="DFA2C5F2"/>
    <w:rsid w:val="DFDD4BCA"/>
    <w:rsid w:val="E7320E2D"/>
    <w:rsid w:val="EAF8C4EE"/>
    <w:rsid w:val="EBED9F7F"/>
    <w:rsid w:val="ED4D5622"/>
    <w:rsid w:val="EEDE37D9"/>
    <w:rsid w:val="EFBF652B"/>
    <w:rsid w:val="F6F72A34"/>
    <w:rsid w:val="F75F46CE"/>
    <w:rsid w:val="F7BE2A08"/>
    <w:rsid w:val="F8FF6DF5"/>
    <w:rsid w:val="F9FCBC07"/>
    <w:rsid w:val="FADAACCC"/>
    <w:rsid w:val="FD7BF889"/>
    <w:rsid w:val="FDFF72B0"/>
    <w:rsid w:val="FF2F083D"/>
    <w:rsid w:val="FF67DCD3"/>
    <w:rsid w:val="FFDDC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宋体" w:hAnsi="宋体" w:eastAsia="宋体" w:cstheme="majorBidi"/>
      <w:b/>
      <w:bCs/>
      <w:sz w:val="36"/>
      <w:szCs w:val="36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宋体" w:hAnsi="宋体" w:eastAsia="宋体"/>
      <w:b/>
      <w:bCs/>
      <w:sz w:val="28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0"/>
        <w:numId w:val="2"/>
      </w:numPr>
      <w:spacing w:before="280" w:after="290" w:line="377" w:lineRule="auto"/>
      <w:outlineLvl w:val="3"/>
    </w:pPr>
    <w:rPr>
      <w:rFonts w:ascii="宋体" w:hAnsi="宋体" w:eastAsia="宋体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28"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annotation subject"/>
    <w:basedOn w:val="9"/>
    <w:next w:val="9"/>
    <w:link w:val="34"/>
    <w:unhideWhenUsed/>
    <w:qFormat/>
    <w:uiPriority w:val="99"/>
    <w:rPr>
      <w:b/>
      <w:bCs/>
    </w:rPr>
  </w:style>
  <w:style w:type="table" w:styleId="18">
    <w:name w:val="Table Grid"/>
    <w:basedOn w:val="17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2"/>
    <w:qFormat/>
    <w:uiPriority w:val="99"/>
    <w:rPr>
      <w:sz w:val="18"/>
      <w:szCs w:val="18"/>
    </w:rPr>
  </w:style>
  <w:style w:type="character" w:customStyle="1" w:styleId="24">
    <w:name w:val="标题 2 字符"/>
    <w:basedOn w:val="19"/>
    <w:link w:val="3"/>
    <w:qFormat/>
    <w:uiPriority w:val="9"/>
    <w:rPr>
      <w:rFonts w:ascii="宋体" w:hAnsi="宋体" w:eastAsia="宋体" w:cstheme="majorBidi"/>
      <w:b/>
      <w:bCs/>
      <w:sz w:val="36"/>
      <w:szCs w:val="36"/>
    </w:rPr>
  </w:style>
  <w:style w:type="character" w:customStyle="1" w:styleId="25">
    <w:name w:val="标题 3 字符"/>
    <w:basedOn w:val="19"/>
    <w:link w:val="4"/>
    <w:qFormat/>
    <w:uiPriority w:val="9"/>
    <w:rPr>
      <w:rFonts w:ascii="宋体" w:hAnsi="宋体" w:eastAsia="宋体"/>
      <w:b/>
      <w:bCs/>
      <w:sz w:val="28"/>
      <w:szCs w:val="32"/>
    </w:rPr>
  </w:style>
  <w:style w:type="paragraph" w:customStyle="1" w:styleId="26">
    <w:name w:val="仿宋四号"/>
    <w:basedOn w:val="1"/>
    <w:link w:val="27"/>
    <w:qFormat/>
    <w:uiPriority w:val="0"/>
    <w:pPr>
      <w:ind w:firstLine="200" w:firstLineChars="200"/>
    </w:pPr>
    <w:rPr>
      <w:rFonts w:ascii="仿宋" w:hAnsi="仿宋" w:eastAsia="仿宋"/>
      <w:sz w:val="28"/>
      <w:szCs w:val="28"/>
    </w:rPr>
  </w:style>
  <w:style w:type="character" w:customStyle="1" w:styleId="27">
    <w:name w:val="仿宋四号 字符"/>
    <w:basedOn w:val="19"/>
    <w:link w:val="26"/>
    <w:qFormat/>
    <w:uiPriority w:val="0"/>
    <w:rPr>
      <w:rFonts w:ascii="仿宋" w:hAnsi="仿宋" w:eastAsia="仿宋"/>
      <w:sz w:val="28"/>
      <w:szCs w:val="28"/>
    </w:rPr>
  </w:style>
  <w:style w:type="character" w:customStyle="1" w:styleId="28">
    <w:name w:val="批注文字 字符"/>
    <w:basedOn w:val="19"/>
    <w:link w:val="9"/>
    <w:semiHidden/>
    <w:qFormat/>
    <w:uiPriority w:val="99"/>
  </w:style>
  <w:style w:type="character" w:customStyle="1" w:styleId="29">
    <w:name w:val="批注框文本 字符"/>
    <w:basedOn w:val="19"/>
    <w:link w:val="11"/>
    <w:semiHidden/>
    <w:qFormat/>
    <w:uiPriority w:val="99"/>
    <w:rPr>
      <w:sz w:val="18"/>
      <w:szCs w:val="18"/>
    </w:rPr>
  </w:style>
  <w:style w:type="character" w:customStyle="1" w:styleId="30">
    <w:name w:val="标题 1 字符"/>
    <w:basedOn w:val="1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1">
    <w:name w:val="标题 4 字符"/>
    <w:basedOn w:val="19"/>
    <w:link w:val="5"/>
    <w:qFormat/>
    <w:uiPriority w:val="9"/>
    <w:rPr>
      <w:rFonts w:ascii="宋体" w:hAnsi="宋体" w:eastAsia="宋体" w:cstheme="majorBidi"/>
      <w:b/>
      <w:bCs/>
      <w:sz w:val="28"/>
      <w:szCs w:val="28"/>
    </w:rPr>
  </w:style>
  <w:style w:type="character" w:customStyle="1" w:styleId="32">
    <w:name w:val="标题 5 字符"/>
    <w:basedOn w:val="19"/>
    <w:link w:val="6"/>
    <w:qFormat/>
    <w:uiPriority w:val="9"/>
    <w:rPr>
      <w:b/>
      <w:bCs/>
      <w:sz w:val="28"/>
      <w:szCs w:val="28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character" w:customStyle="1" w:styleId="34">
    <w:name w:val="批注主题 字符"/>
    <w:basedOn w:val="28"/>
    <w:link w:val="16"/>
    <w:semiHidden/>
    <w:qFormat/>
    <w:uiPriority w:val="99"/>
    <w:rPr>
      <w:b/>
      <w:bCs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6">
    <w:name w:val="文档结构图 字符"/>
    <w:basedOn w:val="19"/>
    <w:link w:val="8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未处理的提及1"/>
    <w:basedOn w:val="19"/>
    <w:unhideWhenUsed/>
    <w:qFormat/>
    <w:uiPriority w:val="99"/>
    <w:rPr>
      <w:color w:val="605E5C"/>
      <w:shd w:val="clear" w:color="auto" w:fill="E1DFDD"/>
    </w:rPr>
  </w:style>
  <w:style w:type="paragraph" w:customStyle="1" w:styleId="38">
    <w:name w:val="_Style 11"/>
    <w:basedOn w:val="1"/>
    <w:next w:val="33"/>
    <w:qFormat/>
    <w:uiPriority w:val="34"/>
    <w:pPr>
      <w:ind w:firstLine="420" w:firstLineChars="200"/>
    </w:pPr>
    <w:rPr>
      <w:szCs w:val="24"/>
    </w:rPr>
  </w:style>
  <w:style w:type="paragraph" w:customStyle="1" w:styleId="3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1212</Words>
  <Characters>6912</Characters>
  <Lines>57</Lines>
  <Paragraphs>16</Paragraphs>
  <TotalTime>6</TotalTime>
  <ScaleCrop>false</ScaleCrop>
  <LinksUpToDate>false</LinksUpToDate>
  <CharactersWithSpaces>8108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2020-02-20T08:49:00Z</dcterms:created>
  <dc:creator>liujing2</dc:creator>
  <cp:lastModifiedBy>陈洪涛</cp:lastModifiedBy>
  <cp:lastPrinted>2017-04-19T11:55:00Z</cp:lastPrinted>
  <dcterms:modified xsi:type="dcterms:W3CDTF">2023-04-19T01:18:56Z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B802084700AF42E2A98A7A6D47E704F2_13</vt:lpwstr>
  </property>
</Properties>
</file>